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after="0" w:line="560" w:lineRule="exact"/>
        <w:jc w:val="center"/>
        <w:outlineLvl w:val="0"/>
        <w:rPr>
          <w:rFonts w:eastAsia="小标宋"/>
          <w:kern w:val="0"/>
          <w:sz w:val="44"/>
          <w:szCs w:val="44"/>
        </w:rPr>
      </w:pPr>
      <w:r>
        <w:rPr>
          <w:rFonts w:hint="eastAsia" w:eastAsia="小标宋"/>
          <w:kern w:val="0"/>
          <w:sz w:val="44"/>
          <w:szCs w:val="44"/>
        </w:rPr>
        <w:t>长安大学纵向项目（自然科学类）科研经费</w:t>
      </w:r>
    </w:p>
    <w:p>
      <w:pPr>
        <w:pStyle w:val="5"/>
        <w:spacing w:after="0" w:line="560" w:lineRule="exact"/>
        <w:jc w:val="center"/>
        <w:outlineLvl w:val="0"/>
        <w:rPr>
          <w:rFonts w:eastAsia="小标宋"/>
          <w:kern w:val="0"/>
          <w:sz w:val="44"/>
          <w:szCs w:val="44"/>
        </w:rPr>
      </w:pPr>
      <w:r>
        <w:rPr>
          <w:rFonts w:hint="eastAsia" w:eastAsia="小标宋"/>
          <w:kern w:val="0"/>
          <w:sz w:val="44"/>
          <w:szCs w:val="44"/>
        </w:rPr>
        <w:t>管理实施细则</w:t>
      </w:r>
    </w:p>
    <w:p>
      <w:pPr>
        <w:pStyle w:val="5"/>
        <w:spacing w:after="0" w:line="560" w:lineRule="exact"/>
        <w:jc w:val="center"/>
        <w:outlineLvl w:val="0"/>
        <w:rPr>
          <w:rFonts w:eastAsia="小标宋"/>
          <w:b/>
          <w:kern w:val="0"/>
          <w:sz w:val="36"/>
          <w:szCs w:val="36"/>
        </w:rPr>
      </w:pPr>
    </w:p>
    <w:p>
      <w:pPr>
        <w:pStyle w:val="11"/>
        <w:spacing w:line="560" w:lineRule="exact"/>
        <w:ind w:firstLine="0" w:firstLineChars="0"/>
        <w:jc w:val="center"/>
        <w:outlineLvl w:val="0"/>
        <w:rPr>
          <w:rFonts w:ascii="黑体" w:hAnsi="黑体" w:eastAsia="黑体"/>
          <w:sz w:val="32"/>
          <w:szCs w:val="32"/>
        </w:rPr>
      </w:pPr>
      <w:r>
        <w:rPr>
          <w:rFonts w:hint="eastAsia" w:ascii="黑体" w:hAnsi="黑体" w:eastAsia="黑体"/>
          <w:sz w:val="32"/>
          <w:szCs w:val="32"/>
        </w:rPr>
        <w:t>第一</w:t>
      </w:r>
      <w:r>
        <w:rPr>
          <w:rFonts w:ascii="黑体" w:hAnsi="黑体" w:eastAsia="黑体"/>
          <w:sz w:val="32"/>
          <w:szCs w:val="32"/>
        </w:rPr>
        <w:t>章</w:t>
      </w:r>
      <w:r>
        <w:rPr>
          <w:rFonts w:hint="eastAsia" w:ascii="黑体" w:hAnsi="黑体" w:eastAsia="黑体"/>
          <w:sz w:val="32"/>
          <w:szCs w:val="32"/>
        </w:rPr>
        <w:t xml:space="preserve">  </w:t>
      </w:r>
      <w:r>
        <w:rPr>
          <w:rFonts w:ascii="黑体" w:hAnsi="黑体" w:eastAsia="黑体"/>
          <w:sz w:val="32"/>
          <w:szCs w:val="32"/>
        </w:rPr>
        <w:t>总则</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第一条</w:t>
      </w:r>
      <w:r>
        <w:rPr>
          <w:rFonts w:hint="eastAsia" w:eastAsia="仿宋_GB2312"/>
          <w:kern w:val="0"/>
          <w:sz w:val="32"/>
          <w:szCs w:val="32"/>
        </w:rPr>
        <w:t xml:space="preserve">  </w:t>
      </w:r>
      <w:r>
        <w:rPr>
          <w:rFonts w:eastAsia="仿宋_GB2312"/>
          <w:kern w:val="0"/>
          <w:sz w:val="32"/>
          <w:szCs w:val="32"/>
        </w:rPr>
        <w:t>为了规范和加强学校</w:t>
      </w:r>
      <w:r>
        <w:rPr>
          <w:rFonts w:eastAsia="仿宋_GB2312"/>
          <w:sz w:val="32"/>
          <w:szCs w:val="32"/>
        </w:rPr>
        <w:t>纵向项目</w:t>
      </w:r>
      <w:r>
        <w:rPr>
          <w:rFonts w:eastAsia="仿宋_GB2312"/>
          <w:kern w:val="0"/>
          <w:sz w:val="32"/>
          <w:szCs w:val="32"/>
        </w:rPr>
        <w:t>经费管理，</w:t>
      </w:r>
      <w:r>
        <w:rPr>
          <w:rFonts w:eastAsia="仿宋_GB2312"/>
          <w:sz w:val="32"/>
          <w:szCs w:val="32"/>
        </w:rPr>
        <w:t>合理、有效和规范地使用经费，</w:t>
      </w:r>
      <w:r>
        <w:rPr>
          <w:rFonts w:eastAsia="仿宋_GB2312"/>
          <w:kern w:val="0"/>
          <w:sz w:val="32"/>
          <w:szCs w:val="32"/>
        </w:rPr>
        <w:t>提高经费的使用效益，促进学校科技事业的可持续发展，根据国家及学校有关科研经费管理的文件精神，</w:t>
      </w:r>
      <w:r>
        <w:rPr>
          <w:rFonts w:eastAsia="仿宋_GB2312"/>
          <w:sz w:val="32"/>
          <w:szCs w:val="32"/>
        </w:rPr>
        <w:t>结合我校实际情况，特制定本办法</w:t>
      </w:r>
      <w:r>
        <w:rPr>
          <w:rFonts w:eastAsia="仿宋_GB2312"/>
          <w:kern w:val="0"/>
          <w:sz w:val="32"/>
          <w:szCs w:val="32"/>
        </w:rPr>
        <w:t>。</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第二条</w:t>
      </w:r>
      <w:r>
        <w:rPr>
          <w:rFonts w:hint="eastAsia" w:eastAsia="仿宋_GB2312"/>
          <w:sz w:val="32"/>
          <w:szCs w:val="32"/>
        </w:rPr>
        <w:t xml:space="preserve">  </w:t>
      </w:r>
      <w:r>
        <w:rPr>
          <w:rFonts w:eastAsia="仿宋_GB2312"/>
          <w:sz w:val="32"/>
          <w:szCs w:val="32"/>
        </w:rPr>
        <w:t>本办法适用于我校自然科学类纵向项目（以下简称纵向项目），包括国家级计划项目、省部级计划项目</w:t>
      </w:r>
      <w:r>
        <w:rPr>
          <w:rFonts w:hint="eastAsia" w:eastAsia="仿宋_GB2312"/>
          <w:sz w:val="32"/>
          <w:szCs w:val="32"/>
        </w:rPr>
        <w:t>、</w:t>
      </w:r>
      <w:r>
        <w:rPr>
          <w:rFonts w:eastAsia="仿宋_GB2312"/>
          <w:sz w:val="32"/>
          <w:szCs w:val="32"/>
        </w:rPr>
        <w:t>厅局级计划项目</w:t>
      </w:r>
      <w:r>
        <w:rPr>
          <w:rFonts w:hint="eastAsia" w:eastAsia="仿宋_GB2312"/>
          <w:sz w:val="32"/>
          <w:szCs w:val="32"/>
        </w:rPr>
        <w:t>，不包括地质调查项目，地质调查项目按照《长安大学地质调查项目经费预算与使用管理办法》等相关文件执行。军工科研项目参照本办法执行。</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第三条</w:t>
      </w:r>
      <w:r>
        <w:rPr>
          <w:rFonts w:hint="eastAsia" w:eastAsia="仿宋_GB2312"/>
          <w:kern w:val="0"/>
          <w:sz w:val="32"/>
          <w:szCs w:val="32"/>
        </w:rPr>
        <w:t xml:space="preserve">  </w:t>
      </w:r>
      <w:r>
        <w:rPr>
          <w:rFonts w:eastAsia="仿宋_GB2312"/>
          <w:kern w:val="0"/>
          <w:sz w:val="32"/>
          <w:szCs w:val="32"/>
        </w:rPr>
        <w:t>纵向项目科研经费必须全部纳入学校统一核算，</w:t>
      </w:r>
      <w:r>
        <w:rPr>
          <w:rFonts w:eastAsia="仿宋_GB2312"/>
          <w:sz w:val="32"/>
          <w:szCs w:val="32"/>
        </w:rPr>
        <w:t>单独建账，</w:t>
      </w:r>
      <w:r>
        <w:rPr>
          <w:rFonts w:eastAsia="仿宋_GB2312"/>
          <w:kern w:val="0"/>
          <w:sz w:val="32"/>
          <w:szCs w:val="32"/>
        </w:rPr>
        <w:t>专项管理，专款专用，</w:t>
      </w:r>
      <w:r>
        <w:rPr>
          <w:rFonts w:eastAsia="仿宋_GB2312"/>
          <w:sz w:val="32"/>
          <w:szCs w:val="32"/>
        </w:rPr>
        <w:t>由项目负责人具体负责支出</w:t>
      </w:r>
      <w:r>
        <w:rPr>
          <w:rFonts w:eastAsia="仿宋_GB2312"/>
          <w:kern w:val="0"/>
          <w:sz w:val="32"/>
          <w:szCs w:val="32"/>
        </w:rPr>
        <w:t>。</w:t>
      </w:r>
      <w:r>
        <w:rPr>
          <w:rFonts w:eastAsia="仿宋_GB2312"/>
          <w:sz w:val="32"/>
          <w:szCs w:val="32"/>
        </w:rPr>
        <w:t>项目负责人必须按照项目预算合理、规范使用科研经费，并对经费开支的真实性、合法性负法律责任。</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第四条</w:t>
      </w:r>
      <w:r>
        <w:rPr>
          <w:rFonts w:hint="eastAsia" w:eastAsia="仿宋_GB2312"/>
          <w:kern w:val="0"/>
          <w:sz w:val="32"/>
          <w:szCs w:val="32"/>
        </w:rPr>
        <w:t xml:space="preserve">  </w:t>
      </w:r>
      <w:r>
        <w:rPr>
          <w:rFonts w:eastAsia="仿宋_GB2312"/>
          <w:kern w:val="0"/>
          <w:sz w:val="32"/>
          <w:szCs w:val="32"/>
        </w:rPr>
        <w:t>纵向项目科研</w:t>
      </w:r>
      <w:r>
        <w:rPr>
          <w:rFonts w:eastAsia="仿宋_GB2312"/>
          <w:sz w:val="32"/>
          <w:szCs w:val="32"/>
        </w:rPr>
        <w:t>经费管理实行科研财务助理制度。科研财务助理应熟悉国家科技管理政策，懂得一定财务管理知识，精通单位财务报销流程。科研财务助理主要职责包括：协助参与预算编制和</w:t>
      </w:r>
      <w:r>
        <w:rPr>
          <w:rFonts w:hint="eastAsia" w:eastAsia="仿宋_GB2312"/>
          <w:sz w:val="32"/>
          <w:szCs w:val="32"/>
        </w:rPr>
        <w:t>调整</w:t>
      </w:r>
      <w:r>
        <w:rPr>
          <w:rFonts w:eastAsia="仿宋_GB2312"/>
          <w:sz w:val="32"/>
          <w:szCs w:val="32"/>
        </w:rPr>
        <w:t>，主要负责经费支出和执行，积极配合财务决算和验收。</w:t>
      </w:r>
    </w:p>
    <w:p>
      <w:pPr>
        <w:spacing w:line="560" w:lineRule="exact"/>
        <w:ind w:firstLine="640" w:firstLineChars="200"/>
        <w:jc w:val="left"/>
        <w:rPr>
          <w:rFonts w:eastAsia="仿宋_GB2312"/>
          <w:sz w:val="32"/>
          <w:szCs w:val="32"/>
        </w:rPr>
      </w:pPr>
      <w:r>
        <w:rPr>
          <w:rFonts w:eastAsia="仿宋_GB2312"/>
          <w:sz w:val="32"/>
          <w:szCs w:val="32"/>
        </w:rPr>
        <w:t>国家级计划项目科研财务助理由计划财务处采用劳务派遣方式从第三方中介机构聘任并集中管理，为一个或多个国家级计划项目提供专业化服务。科研财务助理聘用经费由科研项目间接费用中的科研条件占用费列支，列支比例为项目直接费用扣除设备购置费后的1%。</w:t>
      </w:r>
    </w:p>
    <w:p>
      <w:pPr>
        <w:spacing w:line="560" w:lineRule="exact"/>
        <w:ind w:firstLine="640" w:firstLineChars="200"/>
        <w:jc w:val="left"/>
        <w:rPr>
          <w:rFonts w:eastAsia="仿宋_GB2312"/>
          <w:sz w:val="32"/>
          <w:szCs w:val="32"/>
        </w:rPr>
      </w:pPr>
      <w:r>
        <w:rPr>
          <w:rFonts w:eastAsia="仿宋_GB2312"/>
          <w:sz w:val="32"/>
          <w:szCs w:val="32"/>
        </w:rPr>
        <w:t>省部级计划项目</w:t>
      </w:r>
      <w:r>
        <w:rPr>
          <w:rFonts w:hint="eastAsia" w:eastAsia="仿宋_GB2312"/>
          <w:sz w:val="32"/>
          <w:szCs w:val="32"/>
        </w:rPr>
        <w:t>、</w:t>
      </w:r>
      <w:r>
        <w:rPr>
          <w:rFonts w:eastAsia="仿宋_GB2312"/>
          <w:sz w:val="32"/>
          <w:szCs w:val="32"/>
        </w:rPr>
        <w:t>厅局级计划项目</w:t>
      </w:r>
      <w:r>
        <w:rPr>
          <w:rFonts w:hint="eastAsia" w:eastAsia="仿宋_GB2312"/>
          <w:sz w:val="32"/>
          <w:szCs w:val="32"/>
        </w:rPr>
        <w:t>和军工科研项目</w:t>
      </w:r>
      <w:r>
        <w:rPr>
          <w:rFonts w:eastAsia="仿宋_GB2312"/>
          <w:sz w:val="32"/>
          <w:szCs w:val="32"/>
        </w:rPr>
        <w:t>科研财务助理</w:t>
      </w:r>
      <w:r>
        <w:rPr>
          <w:rFonts w:hint="eastAsia" w:eastAsia="仿宋_GB2312"/>
          <w:sz w:val="32"/>
          <w:szCs w:val="32"/>
        </w:rPr>
        <w:t>可以</w:t>
      </w:r>
      <w:r>
        <w:rPr>
          <w:rFonts w:eastAsia="仿宋_GB2312"/>
          <w:sz w:val="32"/>
          <w:szCs w:val="32"/>
        </w:rPr>
        <w:t>由项目组根据项目研究需要，</w:t>
      </w:r>
      <w:r>
        <w:rPr>
          <w:rFonts w:hint="eastAsia" w:eastAsia="仿宋_GB2312"/>
          <w:sz w:val="32"/>
          <w:szCs w:val="32"/>
        </w:rPr>
        <w:t>依照</w:t>
      </w:r>
      <w:r>
        <w:rPr>
          <w:rFonts w:eastAsia="仿宋_GB2312"/>
          <w:sz w:val="32"/>
          <w:szCs w:val="32"/>
        </w:rPr>
        <w:t>《长安大学科研项目外聘人员聘用管理办法》聘任，为项目组提供专业化服务。科研财务助理聘用经费由科研项目直接费用中的劳务费列支。</w:t>
      </w:r>
    </w:p>
    <w:p>
      <w:pPr>
        <w:pStyle w:val="11"/>
        <w:spacing w:line="560" w:lineRule="exact"/>
        <w:ind w:firstLine="0" w:firstLineChars="0"/>
        <w:jc w:val="center"/>
        <w:outlineLvl w:val="0"/>
        <w:rPr>
          <w:rFonts w:ascii="黑体" w:hAnsi="黑体" w:eastAsia="黑体"/>
          <w:sz w:val="32"/>
          <w:szCs w:val="32"/>
        </w:rPr>
      </w:pPr>
      <w:r>
        <w:rPr>
          <w:rFonts w:hint="eastAsia" w:ascii="黑体" w:hAnsi="黑体" w:eastAsia="黑体"/>
          <w:sz w:val="32"/>
          <w:szCs w:val="32"/>
        </w:rPr>
        <w:t xml:space="preserve">第二章  </w:t>
      </w:r>
      <w:r>
        <w:rPr>
          <w:rFonts w:ascii="黑体" w:hAnsi="黑体" w:eastAsia="黑体"/>
          <w:sz w:val="32"/>
          <w:szCs w:val="32"/>
        </w:rPr>
        <w:t>预算编制</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第五条</w:t>
      </w:r>
      <w:r>
        <w:rPr>
          <w:rFonts w:hint="eastAsia" w:eastAsia="仿宋_GB2312"/>
          <w:sz w:val="32"/>
          <w:szCs w:val="32"/>
        </w:rPr>
        <w:t xml:space="preserve">  </w:t>
      </w:r>
      <w:r>
        <w:rPr>
          <w:rFonts w:eastAsia="仿宋_GB2312"/>
          <w:sz w:val="32"/>
          <w:szCs w:val="32"/>
        </w:rPr>
        <w:t>为适应科研活动规律的需要，落实科学化</w:t>
      </w:r>
      <w:r>
        <w:rPr>
          <w:rFonts w:hint="eastAsia" w:eastAsia="仿宋_GB2312"/>
          <w:sz w:val="32"/>
          <w:szCs w:val="32"/>
        </w:rPr>
        <w:t>、</w:t>
      </w:r>
      <w:r>
        <w:rPr>
          <w:rFonts w:eastAsia="仿宋_GB2312"/>
          <w:sz w:val="32"/>
          <w:szCs w:val="32"/>
        </w:rPr>
        <w:t>精细化管理要求，按照国家相关文件精神，纵向项目科研经费分为直接费用和间接费用。</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第六条</w:t>
      </w:r>
      <w:r>
        <w:rPr>
          <w:rFonts w:hint="eastAsia" w:eastAsia="仿宋_GB2312"/>
          <w:sz w:val="32"/>
          <w:szCs w:val="32"/>
        </w:rPr>
        <w:t xml:space="preserve">  </w:t>
      </w:r>
      <w:r>
        <w:rPr>
          <w:rFonts w:eastAsia="仿宋_GB2312"/>
          <w:sz w:val="32"/>
          <w:szCs w:val="32"/>
        </w:rPr>
        <w:t>直接费用指在项目研究开发过程中发生的与之直接相关的费用，主要包括设备费、材料费、测试化验加工费、燃料动力费、差旅费、会议费、国际合作与交流费、出版/文献/信息传播/知识产权事务费、劳务费、专家咨询费和其他支出等。</w:t>
      </w:r>
    </w:p>
    <w:p>
      <w:pPr>
        <w:spacing w:line="56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rPr>
        <w:t xml:space="preserve"> </w:t>
      </w:r>
      <w:r>
        <w:rPr>
          <w:rFonts w:eastAsia="仿宋_GB2312"/>
          <w:sz w:val="32"/>
          <w:szCs w:val="32"/>
        </w:rPr>
        <w:t>设备费：是指在项目研究过程中购置或试制专用小型仪器设备，对现有仪器设备进行升级改造，以及租赁外单位仪器设备而发生的费用。</w:t>
      </w:r>
    </w:p>
    <w:p>
      <w:pPr>
        <w:spacing w:line="560" w:lineRule="exact"/>
        <w:ind w:firstLine="640" w:firstLineChars="200"/>
        <w:jc w:val="left"/>
        <w:rPr>
          <w:rFonts w:eastAsia="仿宋_GB2312"/>
          <w:sz w:val="32"/>
          <w:szCs w:val="32"/>
        </w:rPr>
      </w:pPr>
      <w:r>
        <w:rPr>
          <w:rFonts w:eastAsia="仿宋_GB2312"/>
          <w:sz w:val="32"/>
          <w:szCs w:val="32"/>
        </w:rPr>
        <w:t>2.</w:t>
      </w:r>
      <w:r>
        <w:rPr>
          <w:rFonts w:hint="eastAsia" w:eastAsia="仿宋_GB2312"/>
          <w:sz w:val="32"/>
          <w:szCs w:val="32"/>
        </w:rPr>
        <w:t xml:space="preserve"> </w:t>
      </w:r>
      <w:r>
        <w:rPr>
          <w:rFonts w:eastAsia="仿宋_GB2312"/>
          <w:sz w:val="32"/>
          <w:szCs w:val="32"/>
        </w:rPr>
        <w:t>材料费：是指在项目研究过程中消耗的各种原材料、辅助材料等低值易耗品的采购及运输、装卸、整理等费用，主要是研究所需必要材料。国家级计划项目不包括大量的日常办公耗材、生产性材料、基建材料、大宗工业化原料等。</w:t>
      </w:r>
    </w:p>
    <w:p>
      <w:pPr>
        <w:spacing w:line="560" w:lineRule="exact"/>
        <w:ind w:firstLine="640" w:firstLineChars="200"/>
        <w:jc w:val="left"/>
        <w:rPr>
          <w:rFonts w:eastAsia="仿宋_GB2312"/>
          <w:sz w:val="32"/>
          <w:szCs w:val="32"/>
        </w:rPr>
      </w:pPr>
      <w:r>
        <w:rPr>
          <w:rFonts w:eastAsia="仿宋_GB2312"/>
          <w:sz w:val="32"/>
          <w:szCs w:val="32"/>
        </w:rPr>
        <w:t>3.</w:t>
      </w:r>
      <w:r>
        <w:rPr>
          <w:rFonts w:hint="eastAsia" w:eastAsia="仿宋_GB2312"/>
          <w:sz w:val="32"/>
          <w:szCs w:val="32"/>
        </w:rPr>
        <w:t xml:space="preserve"> </w:t>
      </w:r>
      <w:r>
        <w:rPr>
          <w:rFonts w:eastAsia="仿宋_GB2312"/>
          <w:sz w:val="32"/>
          <w:szCs w:val="32"/>
        </w:rPr>
        <w:t>测试化验加工费：是指在项目研究过程中支付给外单位（包括单位内部独立经济核算单位）的检验、测试、化验及加工等费用。</w:t>
      </w:r>
    </w:p>
    <w:p>
      <w:pPr>
        <w:spacing w:line="560" w:lineRule="exact"/>
        <w:ind w:firstLine="640" w:firstLineChars="200"/>
        <w:jc w:val="left"/>
        <w:rPr>
          <w:rFonts w:eastAsia="仿宋_GB2312"/>
          <w:sz w:val="32"/>
          <w:szCs w:val="32"/>
        </w:rPr>
      </w:pPr>
      <w:r>
        <w:rPr>
          <w:rFonts w:eastAsia="仿宋_GB2312"/>
          <w:sz w:val="32"/>
          <w:szCs w:val="32"/>
        </w:rPr>
        <w:t>4. 燃料动力费：是指在项目研究过程中相关大型仪器设备、专用科学装置等运行发生的可以单独计量的水、电、气、燃料消耗费用等。国家级计划项目不包括实验室或办公场所日常运行发生的水、电、气、燃料消耗费用等。</w:t>
      </w:r>
    </w:p>
    <w:p>
      <w:pPr>
        <w:spacing w:line="560" w:lineRule="exact"/>
        <w:ind w:firstLine="640" w:firstLineChars="200"/>
        <w:jc w:val="left"/>
        <w:rPr>
          <w:rFonts w:eastAsia="仿宋_GB2312"/>
          <w:sz w:val="32"/>
          <w:szCs w:val="32"/>
        </w:rPr>
      </w:pPr>
      <w:r>
        <w:rPr>
          <w:rFonts w:eastAsia="仿宋_GB2312"/>
          <w:sz w:val="32"/>
          <w:szCs w:val="32"/>
        </w:rPr>
        <w:t>5.</w:t>
      </w:r>
      <w:r>
        <w:rPr>
          <w:rFonts w:hint="eastAsia" w:eastAsia="仿宋_GB2312"/>
          <w:sz w:val="32"/>
          <w:szCs w:val="32"/>
        </w:rPr>
        <w:t xml:space="preserve"> </w:t>
      </w:r>
      <w:r>
        <w:rPr>
          <w:rFonts w:eastAsia="仿宋_GB2312"/>
          <w:sz w:val="32"/>
          <w:szCs w:val="32"/>
        </w:rPr>
        <w:t>差旅费：是指在项目研究过程中开展科学实验（试验）、科学考察、业务调研、学术交流等所发生的外埠差旅费、市内交通费用等。</w:t>
      </w:r>
    </w:p>
    <w:p>
      <w:pPr>
        <w:spacing w:line="560" w:lineRule="exact"/>
        <w:ind w:firstLine="640" w:firstLineChars="200"/>
        <w:jc w:val="left"/>
        <w:rPr>
          <w:rFonts w:eastAsia="仿宋_GB2312"/>
          <w:sz w:val="32"/>
          <w:szCs w:val="32"/>
        </w:rPr>
      </w:pPr>
      <w:r>
        <w:rPr>
          <w:rFonts w:eastAsia="仿宋_GB2312"/>
          <w:sz w:val="32"/>
          <w:szCs w:val="32"/>
        </w:rPr>
        <w:t>6.</w:t>
      </w:r>
      <w:r>
        <w:rPr>
          <w:rFonts w:hint="eastAsia" w:eastAsia="仿宋_GB2312"/>
          <w:sz w:val="32"/>
          <w:szCs w:val="32"/>
        </w:rPr>
        <w:t xml:space="preserve"> </w:t>
      </w:r>
      <w:r>
        <w:rPr>
          <w:rFonts w:eastAsia="仿宋_GB2312"/>
          <w:sz w:val="32"/>
          <w:szCs w:val="32"/>
        </w:rPr>
        <w:t>会议费：是指在项目研究过程中为组织开展与研究项目有关的学术研讨、咨询等活动而发生的会议费用。</w:t>
      </w:r>
    </w:p>
    <w:p>
      <w:pPr>
        <w:spacing w:line="560" w:lineRule="exact"/>
        <w:ind w:firstLine="640" w:firstLineChars="200"/>
        <w:jc w:val="left"/>
        <w:rPr>
          <w:rFonts w:eastAsia="仿宋_GB2312"/>
          <w:sz w:val="32"/>
          <w:szCs w:val="32"/>
        </w:rPr>
      </w:pPr>
      <w:r>
        <w:rPr>
          <w:rFonts w:eastAsia="仿宋_GB2312"/>
          <w:sz w:val="32"/>
          <w:szCs w:val="32"/>
        </w:rPr>
        <w:t>7.</w:t>
      </w:r>
      <w:r>
        <w:rPr>
          <w:rFonts w:hint="eastAsia" w:eastAsia="仿宋_GB2312"/>
          <w:sz w:val="32"/>
          <w:szCs w:val="32"/>
        </w:rPr>
        <w:t xml:space="preserve"> </w:t>
      </w:r>
      <w:r>
        <w:rPr>
          <w:rFonts w:eastAsia="仿宋_GB2312"/>
          <w:sz w:val="32"/>
          <w:szCs w:val="32"/>
        </w:rPr>
        <w:t>国际合作与交流费：是指在项目研究过程中研究人员参加与研究项目有关的国内外学术活动或邀请外国专家来华工作的费用。</w:t>
      </w:r>
    </w:p>
    <w:p>
      <w:pPr>
        <w:spacing w:line="560" w:lineRule="exact"/>
        <w:ind w:firstLine="640" w:firstLineChars="200"/>
        <w:jc w:val="left"/>
        <w:rPr>
          <w:rFonts w:eastAsia="仿宋_GB2312"/>
          <w:sz w:val="32"/>
          <w:szCs w:val="32"/>
        </w:rPr>
      </w:pPr>
      <w:r>
        <w:rPr>
          <w:rFonts w:eastAsia="仿宋_GB2312"/>
          <w:sz w:val="32"/>
          <w:szCs w:val="32"/>
        </w:rPr>
        <w:t>8.</w:t>
      </w:r>
      <w:r>
        <w:rPr>
          <w:rFonts w:hint="eastAsia" w:eastAsia="仿宋_GB2312"/>
          <w:sz w:val="32"/>
          <w:szCs w:val="32"/>
        </w:rPr>
        <w:t xml:space="preserve"> </w:t>
      </w:r>
      <w:r>
        <w:rPr>
          <w:rFonts w:eastAsia="仿宋_GB2312"/>
          <w:sz w:val="32"/>
          <w:szCs w:val="32"/>
        </w:rPr>
        <w:t>出版/文献/信息传播/知识产权事务费：是指在项目研究过程中，需要支付的出版费、资料费、专用软件购买费、文献检索费、专业通信费、专利申请及其他知识产权事务等费用。国家级计划项目不包括一般办公软件、广告费、移动电话和座机等普通通信费。</w:t>
      </w:r>
    </w:p>
    <w:p>
      <w:pPr>
        <w:spacing w:line="560" w:lineRule="exact"/>
        <w:ind w:firstLine="640" w:firstLineChars="200"/>
        <w:jc w:val="left"/>
        <w:rPr>
          <w:rFonts w:eastAsia="仿宋_GB2312"/>
          <w:sz w:val="32"/>
          <w:szCs w:val="32"/>
        </w:rPr>
      </w:pPr>
      <w:r>
        <w:rPr>
          <w:rFonts w:eastAsia="仿宋_GB2312"/>
          <w:sz w:val="32"/>
          <w:szCs w:val="32"/>
        </w:rPr>
        <w:t>9.</w:t>
      </w:r>
      <w:r>
        <w:rPr>
          <w:rFonts w:hint="eastAsia" w:eastAsia="仿宋_GB2312"/>
          <w:sz w:val="32"/>
          <w:szCs w:val="32"/>
        </w:rPr>
        <w:t xml:space="preserve"> </w:t>
      </w:r>
      <w:r>
        <w:rPr>
          <w:rFonts w:eastAsia="仿宋_GB2312"/>
          <w:sz w:val="32"/>
          <w:szCs w:val="32"/>
        </w:rPr>
        <w:t>劳务费：是指在项目研究过程中支付给项目组成员中没有工资性收入的在校研究生、博士后和临时聘用人员的劳务费用，以及临时聘用人员的社会保险补助费用。</w:t>
      </w:r>
    </w:p>
    <w:p>
      <w:pPr>
        <w:spacing w:line="560" w:lineRule="exact"/>
        <w:ind w:firstLine="640" w:firstLineChars="200"/>
        <w:jc w:val="left"/>
        <w:rPr>
          <w:rFonts w:eastAsia="仿宋_GB2312"/>
          <w:sz w:val="32"/>
          <w:szCs w:val="32"/>
        </w:rPr>
      </w:pPr>
      <w:r>
        <w:rPr>
          <w:rFonts w:eastAsia="仿宋_GB2312"/>
          <w:sz w:val="32"/>
          <w:szCs w:val="32"/>
        </w:rPr>
        <w:t>10.</w:t>
      </w:r>
      <w:r>
        <w:rPr>
          <w:rFonts w:hint="eastAsia" w:eastAsia="仿宋_GB2312"/>
          <w:sz w:val="32"/>
          <w:szCs w:val="32"/>
        </w:rPr>
        <w:t xml:space="preserve"> </w:t>
      </w:r>
      <w:r>
        <w:rPr>
          <w:rFonts w:eastAsia="仿宋_GB2312"/>
          <w:sz w:val="32"/>
          <w:szCs w:val="32"/>
        </w:rPr>
        <w:t>专家咨询费：是指在项目研究过程中支付给临时聘请的咨询专家的费用。</w:t>
      </w:r>
    </w:p>
    <w:p>
      <w:pPr>
        <w:spacing w:line="560" w:lineRule="exact"/>
        <w:ind w:firstLine="640" w:firstLineChars="200"/>
        <w:jc w:val="left"/>
        <w:rPr>
          <w:rFonts w:eastAsia="仿宋_GB2312"/>
          <w:sz w:val="32"/>
          <w:szCs w:val="32"/>
        </w:rPr>
      </w:pPr>
      <w:r>
        <w:rPr>
          <w:rFonts w:eastAsia="仿宋_GB2312"/>
          <w:sz w:val="32"/>
          <w:szCs w:val="32"/>
        </w:rPr>
        <w:t>11.</w:t>
      </w:r>
      <w:r>
        <w:rPr>
          <w:rFonts w:hint="eastAsia" w:eastAsia="仿宋_GB2312"/>
          <w:sz w:val="32"/>
          <w:szCs w:val="32"/>
        </w:rPr>
        <w:t xml:space="preserve"> </w:t>
      </w:r>
      <w:r>
        <w:rPr>
          <w:rFonts w:eastAsia="仿宋_GB2312"/>
          <w:sz w:val="32"/>
          <w:szCs w:val="32"/>
        </w:rPr>
        <w:t>其它费用：研究过程中发生的除上述费用之外的其它支出，应当在申请预算时单独列示，单独核定。</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第七条</w:t>
      </w:r>
      <w:r>
        <w:rPr>
          <w:rFonts w:hint="eastAsia" w:eastAsia="仿宋_GB2312"/>
          <w:sz w:val="32"/>
          <w:szCs w:val="32"/>
        </w:rPr>
        <w:t xml:space="preserve">  </w:t>
      </w:r>
      <w:r>
        <w:rPr>
          <w:rFonts w:eastAsia="仿宋_GB2312"/>
          <w:sz w:val="32"/>
          <w:szCs w:val="32"/>
        </w:rPr>
        <w:t xml:space="preserve">间接费用是指科研项目在组织实施过程中发生的无法在直接费用中列支的相关费用，主要包括学校为了项目研究提供的现有仪器设备及房屋，水、电、气、暖消耗，有关管理费用，以及绩效支出等。间接费用支出分类： </w:t>
      </w:r>
    </w:p>
    <w:p>
      <w:pPr>
        <w:spacing w:line="560" w:lineRule="exact"/>
        <w:ind w:firstLine="640" w:firstLineChars="200"/>
        <w:jc w:val="left"/>
        <w:rPr>
          <w:kern w:val="0"/>
          <w:sz w:val="32"/>
          <w:szCs w:val="32"/>
        </w:rPr>
      </w:pPr>
      <w:r>
        <w:rPr>
          <w:rFonts w:eastAsia="仿宋_GB2312"/>
          <w:sz w:val="32"/>
          <w:szCs w:val="32"/>
        </w:rPr>
        <w:t>1.</w:t>
      </w:r>
      <w:r>
        <w:rPr>
          <w:rFonts w:hint="eastAsia" w:eastAsia="仿宋_GB2312"/>
          <w:sz w:val="32"/>
          <w:szCs w:val="32"/>
        </w:rPr>
        <w:t xml:space="preserve"> </w:t>
      </w:r>
      <w:r>
        <w:rPr>
          <w:rFonts w:eastAsia="仿宋_GB2312"/>
          <w:sz w:val="32"/>
          <w:szCs w:val="32"/>
        </w:rPr>
        <w:t>科研管理费：主要用于学校科研发展基金，支持学术交流、科研奖励等。学校管理费不足时，由学校事业费和其他经费支持。</w:t>
      </w:r>
      <w:r>
        <w:rPr>
          <w:kern w:val="0"/>
          <w:sz w:val="32"/>
          <w:szCs w:val="32"/>
        </w:rPr>
        <w:t xml:space="preserve"> </w:t>
      </w:r>
    </w:p>
    <w:p>
      <w:pPr>
        <w:spacing w:line="560" w:lineRule="exact"/>
        <w:ind w:firstLine="640" w:firstLineChars="200"/>
        <w:jc w:val="left"/>
        <w:rPr>
          <w:rFonts w:eastAsia="仿宋_GB2312"/>
          <w:sz w:val="32"/>
          <w:szCs w:val="32"/>
        </w:rPr>
      </w:pPr>
      <w:r>
        <w:rPr>
          <w:rFonts w:eastAsia="仿宋_GB2312"/>
          <w:sz w:val="32"/>
          <w:szCs w:val="32"/>
        </w:rPr>
        <w:t>2.</w:t>
      </w:r>
      <w:r>
        <w:rPr>
          <w:rFonts w:hint="eastAsia" w:eastAsia="仿宋_GB2312"/>
          <w:sz w:val="32"/>
          <w:szCs w:val="32"/>
        </w:rPr>
        <w:t xml:space="preserve"> </w:t>
      </w:r>
      <w:r>
        <w:rPr>
          <w:rFonts w:eastAsia="仿宋_GB2312"/>
          <w:sz w:val="32"/>
          <w:szCs w:val="32"/>
        </w:rPr>
        <w:t xml:space="preserve">科研绩效支出：用于提高科研工作绩效安排的相关支出。 </w:t>
      </w:r>
    </w:p>
    <w:p>
      <w:pPr>
        <w:spacing w:line="560" w:lineRule="exact"/>
        <w:ind w:firstLine="640" w:firstLineChars="200"/>
        <w:rPr>
          <w:rFonts w:eastAsia="仿宋_GB2312"/>
          <w:sz w:val="32"/>
          <w:szCs w:val="32"/>
        </w:rPr>
      </w:pPr>
      <w:r>
        <w:rPr>
          <w:rFonts w:eastAsia="仿宋_GB2312"/>
          <w:sz w:val="32"/>
          <w:szCs w:val="32"/>
        </w:rPr>
        <w:t>3.</w:t>
      </w:r>
      <w:r>
        <w:rPr>
          <w:rFonts w:hint="eastAsia" w:eastAsia="仿宋_GB2312"/>
          <w:sz w:val="32"/>
          <w:szCs w:val="32"/>
        </w:rPr>
        <w:t xml:space="preserve"> </w:t>
      </w:r>
      <w:r>
        <w:rPr>
          <w:rFonts w:eastAsia="仿宋_GB2312"/>
          <w:sz w:val="32"/>
          <w:szCs w:val="32"/>
        </w:rPr>
        <w:t>科研条件占用费：用于使用学校仪器设备及房屋，水、电、气、暖消耗，国家级计划项目科研财务助理聘用，图书资料购置、网络信息建设，科研基础设施建设、公共实验平台建设等费用的补助支出。</w:t>
      </w:r>
    </w:p>
    <w:p>
      <w:pPr>
        <w:pStyle w:val="11"/>
        <w:spacing w:line="560" w:lineRule="exact"/>
        <w:ind w:firstLine="0" w:firstLineChars="0"/>
        <w:jc w:val="center"/>
        <w:outlineLvl w:val="0"/>
        <w:rPr>
          <w:rFonts w:ascii="黑体" w:hAnsi="黑体" w:eastAsia="黑体"/>
          <w:sz w:val="32"/>
          <w:szCs w:val="32"/>
        </w:rPr>
      </w:pPr>
      <w:r>
        <w:rPr>
          <w:rFonts w:hint="eastAsia" w:ascii="黑体" w:hAnsi="黑体" w:eastAsia="黑体"/>
          <w:sz w:val="32"/>
          <w:szCs w:val="32"/>
        </w:rPr>
        <w:t xml:space="preserve">第三章  </w:t>
      </w:r>
      <w:r>
        <w:rPr>
          <w:rFonts w:ascii="黑体" w:hAnsi="黑体" w:eastAsia="黑体"/>
          <w:sz w:val="32"/>
          <w:szCs w:val="32"/>
        </w:rPr>
        <w:t>预算执行</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第八条</w:t>
      </w:r>
      <w:r>
        <w:rPr>
          <w:rFonts w:hint="eastAsia" w:eastAsia="仿宋_GB2312"/>
          <w:sz w:val="32"/>
          <w:szCs w:val="32"/>
        </w:rPr>
        <w:t xml:space="preserve">  </w:t>
      </w:r>
      <w:r>
        <w:rPr>
          <w:rFonts w:eastAsia="仿宋_GB2312"/>
          <w:sz w:val="32"/>
          <w:szCs w:val="32"/>
        </w:rPr>
        <w:t>纵向项目科研经费的开支范围严格遵照相关项目经费管理办法执行</w:t>
      </w:r>
      <w:r>
        <w:rPr>
          <w:rFonts w:hint="eastAsia" w:eastAsia="仿宋_GB2312"/>
          <w:sz w:val="32"/>
          <w:szCs w:val="32"/>
        </w:rPr>
        <w:t>，</w:t>
      </w:r>
      <w:r>
        <w:rPr>
          <w:rFonts w:eastAsia="仿宋_GB2312"/>
          <w:sz w:val="32"/>
          <w:szCs w:val="32"/>
        </w:rPr>
        <w:t>项目科研经费</w:t>
      </w:r>
      <w:r>
        <w:rPr>
          <w:rFonts w:hint="eastAsia" w:eastAsia="仿宋_GB2312"/>
          <w:sz w:val="32"/>
          <w:szCs w:val="32"/>
        </w:rPr>
        <w:t>严格按照预算执行，</w:t>
      </w:r>
      <w:r>
        <w:rPr>
          <w:rFonts w:eastAsia="仿宋_GB2312"/>
          <w:sz w:val="32"/>
          <w:szCs w:val="32"/>
        </w:rPr>
        <w:t>实行预算制管理</w:t>
      </w:r>
      <w:r>
        <w:rPr>
          <w:rFonts w:hint="eastAsia" w:eastAsia="仿宋_GB2312"/>
          <w:sz w:val="32"/>
          <w:szCs w:val="32"/>
        </w:rPr>
        <w:t>。</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第九条</w:t>
      </w:r>
      <w:r>
        <w:rPr>
          <w:rFonts w:hint="eastAsia" w:eastAsia="仿宋_GB2312"/>
          <w:sz w:val="32"/>
          <w:szCs w:val="32"/>
        </w:rPr>
        <w:t xml:space="preserve">  </w:t>
      </w:r>
      <w:r>
        <w:rPr>
          <w:rFonts w:eastAsia="仿宋_GB2312"/>
          <w:sz w:val="32"/>
          <w:szCs w:val="32"/>
        </w:rPr>
        <w:t>纵向项目科研经费到账后，间接费用由计划财务处按照科技处</w:t>
      </w:r>
      <w:r>
        <w:rPr>
          <w:rFonts w:hint="eastAsia" w:eastAsia="仿宋_GB2312"/>
          <w:sz w:val="32"/>
          <w:szCs w:val="32"/>
        </w:rPr>
        <w:t>开具的</w:t>
      </w:r>
      <w:r>
        <w:rPr>
          <w:rFonts w:hint="eastAsia" w:ascii="仿宋_GB2312" w:eastAsia="仿宋_GB2312"/>
          <w:sz w:val="32"/>
          <w:szCs w:val="32"/>
        </w:rPr>
        <w:t>“科研课题经费划拨及管理费提取明细表”</w:t>
      </w:r>
      <w:r>
        <w:rPr>
          <w:rFonts w:eastAsia="仿宋_GB2312"/>
          <w:sz w:val="32"/>
          <w:szCs w:val="32"/>
        </w:rPr>
        <w:t>相应比例计提，直接费用由科技处与计划财务处下发项目经费本，由项目负责人使用。</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第十条</w:t>
      </w:r>
      <w:r>
        <w:rPr>
          <w:rFonts w:hint="eastAsia" w:eastAsia="仿宋_GB2312"/>
          <w:sz w:val="32"/>
          <w:szCs w:val="32"/>
        </w:rPr>
        <w:t xml:space="preserve">  纵向</w:t>
      </w:r>
      <w:r>
        <w:rPr>
          <w:rFonts w:eastAsia="仿宋_GB2312"/>
          <w:sz w:val="32"/>
          <w:szCs w:val="32"/>
        </w:rPr>
        <w:t>项目科研经费间接费用计提比例在上级</w:t>
      </w:r>
      <w:r>
        <w:rPr>
          <w:rFonts w:hint="eastAsia" w:eastAsia="仿宋_GB2312"/>
          <w:sz w:val="32"/>
          <w:szCs w:val="32"/>
        </w:rPr>
        <w:t>项目管理</w:t>
      </w:r>
      <w:r>
        <w:rPr>
          <w:rFonts w:eastAsia="仿宋_GB2312"/>
          <w:sz w:val="32"/>
          <w:szCs w:val="32"/>
        </w:rPr>
        <w:t>文件</w:t>
      </w:r>
      <w:r>
        <w:rPr>
          <w:rFonts w:hint="eastAsia" w:eastAsia="仿宋_GB2312"/>
          <w:sz w:val="32"/>
          <w:szCs w:val="32"/>
        </w:rPr>
        <w:t>中有明确</w:t>
      </w:r>
      <w:r>
        <w:rPr>
          <w:rFonts w:eastAsia="仿宋_GB2312"/>
          <w:sz w:val="32"/>
          <w:szCs w:val="32"/>
        </w:rPr>
        <w:t>规定</w:t>
      </w:r>
      <w:r>
        <w:rPr>
          <w:rFonts w:hint="eastAsia" w:eastAsia="仿宋_GB2312"/>
          <w:sz w:val="32"/>
          <w:szCs w:val="32"/>
        </w:rPr>
        <w:t>的，</w:t>
      </w:r>
      <w:r>
        <w:rPr>
          <w:rFonts w:eastAsia="仿宋_GB2312"/>
          <w:sz w:val="32"/>
          <w:szCs w:val="32"/>
        </w:rPr>
        <w:t>按</w:t>
      </w:r>
      <w:r>
        <w:rPr>
          <w:rFonts w:hint="eastAsia" w:eastAsia="仿宋_GB2312"/>
          <w:sz w:val="32"/>
          <w:szCs w:val="32"/>
        </w:rPr>
        <w:t>相关</w:t>
      </w:r>
      <w:r>
        <w:rPr>
          <w:rFonts w:eastAsia="仿宋_GB2312"/>
          <w:sz w:val="32"/>
          <w:szCs w:val="32"/>
        </w:rPr>
        <w:t>文件执行</w:t>
      </w:r>
      <w:r>
        <w:rPr>
          <w:rFonts w:hint="eastAsia" w:eastAsia="仿宋_GB2312"/>
          <w:sz w:val="32"/>
          <w:szCs w:val="32"/>
        </w:rPr>
        <w:t>；</w:t>
      </w:r>
      <w:r>
        <w:rPr>
          <w:rFonts w:eastAsia="仿宋_GB2312"/>
          <w:sz w:val="32"/>
          <w:szCs w:val="32"/>
        </w:rPr>
        <w:t>在上级</w:t>
      </w:r>
      <w:r>
        <w:rPr>
          <w:rFonts w:hint="eastAsia" w:eastAsia="仿宋_GB2312"/>
          <w:sz w:val="32"/>
          <w:szCs w:val="32"/>
        </w:rPr>
        <w:t>项目管理</w:t>
      </w:r>
      <w:r>
        <w:rPr>
          <w:rFonts w:eastAsia="仿宋_GB2312"/>
          <w:sz w:val="32"/>
          <w:szCs w:val="32"/>
        </w:rPr>
        <w:t>文件</w:t>
      </w:r>
      <w:r>
        <w:rPr>
          <w:rFonts w:hint="eastAsia" w:eastAsia="仿宋_GB2312"/>
          <w:sz w:val="32"/>
          <w:szCs w:val="32"/>
        </w:rPr>
        <w:t>中没有明确</w:t>
      </w:r>
      <w:r>
        <w:rPr>
          <w:rFonts w:eastAsia="仿宋_GB2312"/>
          <w:sz w:val="32"/>
          <w:szCs w:val="32"/>
        </w:rPr>
        <w:t>规定</w:t>
      </w:r>
      <w:r>
        <w:rPr>
          <w:rFonts w:hint="eastAsia" w:eastAsia="仿宋_GB2312"/>
          <w:sz w:val="32"/>
          <w:szCs w:val="32"/>
        </w:rPr>
        <w:t>的，按表1分配比例执行。</w:t>
      </w:r>
    </w:p>
    <w:p>
      <w:pPr>
        <w:spacing w:line="560" w:lineRule="exact"/>
        <w:ind w:firstLine="480" w:firstLineChars="200"/>
        <w:jc w:val="center"/>
        <w:rPr>
          <w:rFonts w:eastAsia="仿宋_GB2312"/>
          <w:b/>
          <w:bCs/>
          <w:sz w:val="24"/>
        </w:rPr>
      </w:pPr>
      <w:r>
        <w:rPr>
          <w:rFonts w:eastAsia="仿宋_GB2312"/>
          <w:kern w:val="0"/>
          <w:sz w:val="24"/>
        </w:rPr>
        <w:pict>
          <v:line id="__TH_L5" o:spid="_x0000_s2050" o:spt="20" style="position:absolute;left:0pt;margin-left:7.4pt;margin-top:74.4pt;height:33.95pt;width:131.45pt;z-index:251660288;mso-width-relative:page;mso-height-relative:page;" coordsize="21600,21600">
            <v:path arrowok="t"/>
            <v:fill focussize="0,0"/>
            <v:stroke weight="0.5pt"/>
            <v:imagedata o:title=""/>
            <o:lock v:ext="edit"/>
          </v:line>
        </w:pict>
      </w:r>
      <w:r>
        <w:rPr>
          <w:rFonts w:eastAsia="仿宋_GB2312"/>
          <w:b/>
          <w:bCs/>
          <w:sz w:val="24"/>
        </w:rPr>
        <w:t>表</w:t>
      </w:r>
      <w:r>
        <w:rPr>
          <w:rFonts w:hint="eastAsia" w:eastAsia="仿宋_GB2312"/>
          <w:b/>
          <w:bCs/>
          <w:sz w:val="24"/>
        </w:rPr>
        <w:t>1</w:t>
      </w:r>
      <w:r>
        <w:rPr>
          <w:rFonts w:eastAsia="仿宋_GB2312"/>
          <w:b/>
          <w:bCs/>
          <w:sz w:val="24"/>
        </w:rPr>
        <w:t xml:space="preserve"> </w:t>
      </w:r>
      <w:r>
        <w:rPr>
          <w:rFonts w:hint="eastAsia" w:eastAsia="仿宋_GB2312"/>
          <w:b/>
          <w:bCs/>
          <w:sz w:val="24"/>
        </w:rPr>
        <w:t>纵向</w:t>
      </w:r>
      <w:r>
        <w:rPr>
          <w:rFonts w:eastAsia="仿宋_GB2312"/>
          <w:b/>
          <w:bCs/>
          <w:sz w:val="24"/>
        </w:rPr>
        <w:t>项目科研经费的分配比例</w:t>
      </w:r>
    </w:p>
    <w:tbl>
      <w:tblPr>
        <w:tblStyle w:val="7"/>
        <w:tblW w:w="86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2"/>
        <w:gridCol w:w="1493"/>
        <w:gridCol w:w="1559"/>
        <w:gridCol w:w="1002"/>
        <w:gridCol w:w="1001"/>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2" w:hRule="atLeast"/>
          <w:jc w:val="center"/>
        </w:trPr>
        <w:tc>
          <w:tcPr>
            <w:tcW w:w="2582" w:type="dxa"/>
            <w:vMerge w:val="restart"/>
            <w:shd w:val="clear" w:color="auto" w:fill="auto"/>
            <w:vAlign w:val="center"/>
          </w:tcPr>
          <w:p>
            <w:pPr>
              <w:ind w:firstLine="480" w:firstLineChars="200"/>
              <w:jc w:val="left"/>
              <w:rPr>
                <w:rFonts w:eastAsia="仿宋_GB2312"/>
                <w:kern w:val="0"/>
                <w:sz w:val="24"/>
              </w:rPr>
            </w:pPr>
            <w:r>
              <w:rPr>
                <w:rFonts w:eastAsia="仿宋_GB2312"/>
                <w:kern w:val="0"/>
                <w:sz w:val="24"/>
              </w:rPr>
              <w:pict>
                <v:line id="_x0000_s2051" o:spid="_x0000_s2051" o:spt="20" style="position:absolute;left:0pt;margin-left:30.05pt;margin-top:0.95pt;height:78.8pt;width:94.45pt;z-index:251661312;mso-width-relative:page;mso-height-relative:page;" coordsize="21600,21600">
                  <v:path arrowok="t"/>
                  <v:fill focussize="0,0"/>
                  <v:stroke weight="0.5pt"/>
                  <v:imagedata o:title=""/>
                  <o:lock v:ext="edit"/>
                </v:line>
              </w:pict>
            </w:r>
            <w:r>
              <w:rPr>
                <w:rFonts w:eastAsia="仿宋_GB2312"/>
                <w:kern w:val="0"/>
                <w:sz w:val="24"/>
              </w:rPr>
              <w:t xml:space="preserve">           费用类别</w:t>
            </w:r>
          </w:p>
          <w:p>
            <w:pPr>
              <w:ind w:firstLine="480" w:firstLineChars="200"/>
              <w:jc w:val="left"/>
              <w:rPr>
                <w:rFonts w:eastAsia="仿宋_GB2312"/>
                <w:kern w:val="0"/>
                <w:sz w:val="24"/>
              </w:rPr>
            </w:pPr>
            <w:r>
              <w:rPr>
                <w:rFonts w:eastAsia="仿宋_GB2312"/>
                <w:kern w:val="0"/>
                <w:sz w:val="24"/>
              </w:rPr>
              <w:t>比例（%）</w:t>
            </w:r>
          </w:p>
          <w:p>
            <w:pPr>
              <w:ind w:firstLine="480" w:firstLineChars="200"/>
              <w:jc w:val="left"/>
              <w:rPr>
                <w:rFonts w:eastAsia="仿宋_GB2312"/>
                <w:kern w:val="0"/>
                <w:sz w:val="24"/>
              </w:rPr>
            </w:pPr>
          </w:p>
          <w:p>
            <w:pPr>
              <w:ind w:firstLine="480" w:firstLineChars="200"/>
              <w:jc w:val="left"/>
              <w:rPr>
                <w:rFonts w:eastAsia="仿宋_GB2312"/>
                <w:kern w:val="0"/>
                <w:sz w:val="24"/>
              </w:rPr>
            </w:pPr>
            <w:r>
              <w:rPr>
                <w:rFonts w:eastAsia="仿宋_GB2312"/>
                <w:kern w:val="0"/>
                <w:sz w:val="24"/>
              </w:rPr>
              <w:t>项目类别</w:t>
            </w:r>
          </w:p>
        </w:tc>
        <w:tc>
          <w:tcPr>
            <w:tcW w:w="5055" w:type="dxa"/>
            <w:gridSpan w:val="4"/>
            <w:shd w:val="clear" w:color="auto" w:fill="auto"/>
            <w:vAlign w:val="center"/>
          </w:tcPr>
          <w:p>
            <w:pPr>
              <w:ind w:firstLine="480" w:firstLineChars="200"/>
              <w:jc w:val="center"/>
              <w:rPr>
                <w:rFonts w:eastAsia="仿宋_GB2312"/>
                <w:kern w:val="0"/>
                <w:sz w:val="24"/>
              </w:rPr>
            </w:pPr>
            <w:r>
              <w:rPr>
                <w:rFonts w:eastAsia="仿宋_GB2312"/>
                <w:kern w:val="0"/>
                <w:sz w:val="24"/>
              </w:rPr>
              <w:t>间接费用</w:t>
            </w:r>
          </w:p>
        </w:tc>
        <w:tc>
          <w:tcPr>
            <w:tcW w:w="1007" w:type="dxa"/>
            <w:vMerge w:val="restart"/>
            <w:shd w:val="clear" w:color="auto" w:fill="auto"/>
            <w:vAlign w:val="center"/>
          </w:tcPr>
          <w:p>
            <w:pPr>
              <w:ind w:firstLine="480" w:firstLineChars="200"/>
              <w:jc w:val="center"/>
              <w:rPr>
                <w:rFonts w:eastAsia="仿宋_GB2312"/>
                <w:kern w:val="0"/>
                <w:sz w:val="24"/>
              </w:rPr>
            </w:pPr>
            <w:r>
              <w:rPr>
                <w:rFonts w:eastAsia="仿宋_GB2312"/>
                <w:kern w:val="0"/>
                <w:sz w:val="24"/>
              </w:rPr>
              <w:t>直接</w:t>
            </w:r>
          </w:p>
          <w:p>
            <w:pPr>
              <w:ind w:firstLine="480" w:firstLineChars="200"/>
              <w:jc w:val="center"/>
              <w:rPr>
                <w:rFonts w:eastAsia="仿宋_GB2312"/>
                <w:kern w:val="0"/>
                <w:sz w:val="24"/>
              </w:rPr>
            </w:pPr>
            <w:r>
              <w:rPr>
                <w:rFonts w:eastAsia="仿宋_GB2312"/>
                <w:kern w:val="0"/>
                <w:sz w:val="24"/>
              </w:rPr>
              <w:t>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 w:hRule="atLeast"/>
          <w:jc w:val="center"/>
        </w:trPr>
        <w:tc>
          <w:tcPr>
            <w:tcW w:w="2582" w:type="dxa"/>
            <w:vMerge w:val="continue"/>
            <w:vAlign w:val="center"/>
          </w:tcPr>
          <w:p>
            <w:pPr>
              <w:ind w:firstLine="480" w:firstLineChars="200"/>
              <w:jc w:val="left"/>
              <w:rPr>
                <w:rFonts w:eastAsia="仿宋_GB2312"/>
                <w:kern w:val="0"/>
                <w:sz w:val="24"/>
              </w:rPr>
            </w:pPr>
          </w:p>
        </w:tc>
        <w:tc>
          <w:tcPr>
            <w:tcW w:w="3052" w:type="dxa"/>
            <w:gridSpan w:val="2"/>
            <w:shd w:val="clear" w:color="auto" w:fill="auto"/>
            <w:vAlign w:val="center"/>
          </w:tcPr>
          <w:p>
            <w:pPr>
              <w:ind w:firstLine="480" w:firstLineChars="200"/>
              <w:jc w:val="center"/>
              <w:rPr>
                <w:rFonts w:eastAsia="仿宋_GB2312"/>
                <w:kern w:val="0"/>
                <w:sz w:val="24"/>
              </w:rPr>
            </w:pPr>
            <w:r>
              <w:rPr>
                <w:rFonts w:eastAsia="仿宋_GB2312"/>
                <w:kern w:val="0"/>
                <w:sz w:val="24"/>
              </w:rPr>
              <w:t>科研管理费</w:t>
            </w:r>
          </w:p>
        </w:tc>
        <w:tc>
          <w:tcPr>
            <w:tcW w:w="1002" w:type="dxa"/>
            <w:vMerge w:val="restart"/>
            <w:shd w:val="clear" w:color="auto" w:fill="auto"/>
            <w:vAlign w:val="center"/>
          </w:tcPr>
          <w:p>
            <w:pPr>
              <w:ind w:firstLine="480" w:firstLineChars="200"/>
              <w:rPr>
                <w:rFonts w:eastAsia="仿宋_GB2312"/>
                <w:kern w:val="0"/>
                <w:sz w:val="24"/>
              </w:rPr>
            </w:pPr>
            <w:r>
              <w:rPr>
                <w:rFonts w:eastAsia="仿宋_GB2312"/>
                <w:kern w:val="0"/>
                <w:sz w:val="24"/>
              </w:rPr>
              <w:t>绩效支出</w:t>
            </w:r>
          </w:p>
        </w:tc>
        <w:tc>
          <w:tcPr>
            <w:tcW w:w="1001" w:type="dxa"/>
            <w:vMerge w:val="restart"/>
            <w:shd w:val="clear" w:color="auto" w:fill="auto"/>
            <w:vAlign w:val="center"/>
          </w:tcPr>
          <w:p>
            <w:pPr>
              <w:ind w:firstLine="480" w:firstLineChars="200"/>
              <w:jc w:val="center"/>
              <w:rPr>
                <w:rFonts w:eastAsia="仿宋_GB2312"/>
                <w:kern w:val="0"/>
                <w:sz w:val="24"/>
              </w:rPr>
            </w:pPr>
            <w:r>
              <w:rPr>
                <w:rFonts w:eastAsia="仿宋_GB2312"/>
                <w:kern w:val="0"/>
                <w:sz w:val="24"/>
              </w:rPr>
              <w:t>学校科研条件占用费</w:t>
            </w:r>
          </w:p>
        </w:tc>
        <w:tc>
          <w:tcPr>
            <w:tcW w:w="1007" w:type="dxa"/>
            <w:vMerge w:val="continue"/>
            <w:shd w:val="clear" w:color="auto" w:fill="auto"/>
            <w:vAlign w:val="center"/>
          </w:tcPr>
          <w:p>
            <w:pPr>
              <w:ind w:firstLine="480" w:firstLineChars="200"/>
              <w:jc w:val="center"/>
              <w:rPr>
                <w:rFonts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2582" w:type="dxa"/>
            <w:vMerge w:val="continue"/>
            <w:vAlign w:val="center"/>
          </w:tcPr>
          <w:p>
            <w:pPr>
              <w:ind w:firstLine="480" w:firstLineChars="200"/>
              <w:jc w:val="left"/>
              <w:rPr>
                <w:rFonts w:eastAsia="仿宋_GB2312"/>
                <w:kern w:val="0"/>
                <w:sz w:val="24"/>
              </w:rPr>
            </w:pPr>
          </w:p>
        </w:tc>
        <w:tc>
          <w:tcPr>
            <w:tcW w:w="1493" w:type="dxa"/>
            <w:shd w:val="clear" w:color="auto" w:fill="auto"/>
            <w:vAlign w:val="center"/>
          </w:tcPr>
          <w:p>
            <w:pPr>
              <w:rPr>
                <w:rFonts w:eastAsia="仿宋_GB2312"/>
                <w:kern w:val="0"/>
                <w:sz w:val="24"/>
              </w:rPr>
            </w:pPr>
            <w:r>
              <w:rPr>
                <w:rFonts w:eastAsia="仿宋_GB2312"/>
                <w:kern w:val="0"/>
                <w:sz w:val="24"/>
              </w:rPr>
              <w:t>学校管理费</w:t>
            </w:r>
          </w:p>
        </w:tc>
        <w:tc>
          <w:tcPr>
            <w:tcW w:w="1559" w:type="dxa"/>
            <w:shd w:val="clear" w:color="auto" w:fill="auto"/>
            <w:vAlign w:val="center"/>
          </w:tcPr>
          <w:p>
            <w:pPr>
              <w:rPr>
                <w:rFonts w:eastAsia="仿宋_GB2312"/>
                <w:kern w:val="0"/>
                <w:sz w:val="24"/>
              </w:rPr>
            </w:pPr>
            <w:r>
              <w:rPr>
                <w:rFonts w:eastAsia="仿宋_GB2312"/>
                <w:kern w:val="0"/>
                <w:sz w:val="24"/>
              </w:rPr>
              <w:t>学院管理费及奖励基金</w:t>
            </w:r>
          </w:p>
        </w:tc>
        <w:tc>
          <w:tcPr>
            <w:tcW w:w="1002" w:type="dxa"/>
            <w:vMerge w:val="continue"/>
            <w:shd w:val="clear" w:color="auto" w:fill="auto"/>
            <w:vAlign w:val="center"/>
          </w:tcPr>
          <w:p>
            <w:pPr>
              <w:ind w:firstLine="480" w:firstLineChars="200"/>
              <w:jc w:val="center"/>
              <w:rPr>
                <w:rFonts w:eastAsia="仿宋_GB2312"/>
                <w:kern w:val="0"/>
                <w:sz w:val="24"/>
              </w:rPr>
            </w:pPr>
          </w:p>
        </w:tc>
        <w:tc>
          <w:tcPr>
            <w:tcW w:w="1001" w:type="dxa"/>
            <w:vMerge w:val="continue"/>
            <w:vAlign w:val="center"/>
          </w:tcPr>
          <w:p>
            <w:pPr>
              <w:ind w:firstLine="480" w:firstLineChars="200"/>
              <w:jc w:val="center"/>
              <w:rPr>
                <w:rFonts w:eastAsia="仿宋_GB2312"/>
                <w:kern w:val="0"/>
                <w:sz w:val="24"/>
              </w:rPr>
            </w:pPr>
          </w:p>
        </w:tc>
        <w:tc>
          <w:tcPr>
            <w:tcW w:w="1007" w:type="dxa"/>
            <w:vMerge w:val="continue"/>
            <w:vAlign w:val="center"/>
          </w:tcPr>
          <w:p>
            <w:pPr>
              <w:ind w:firstLine="480" w:firstLineChars="200"/>
              <w:jc w:val="center"/>
              <w:rPr>
                <w:rFonts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jc w:val="center"/>
        </w:trPr>
        <w:tc>
          <w:tcPr>
            <w:tcW w:w="2582" w:type="dxa"/>
            <w:tcBorders>
              <w:bottom w:val="single" w:color="auto" w:sz="4" w:space="0"/>
            </w:tcBorders>
            <w:shd w:val="clear" w:color="auto" w:fill="auto"/>
            <w:vAlign w:val="center"/>
          </w:tcPr>
          <w:p>
            <w:pPr>
              <w:ind w:firstLine="480" w:firstLineChars="200"/>
              <w:jc w:val="center"/>
              <w:rPr>
                <w:rFonts w:eastAsia="仿宋_GB2312"/>
                <w:kern w:val="0"/>
                <w:sz w:val="24"/>
              </w:rPr>
            </w:pPr>
            <w:r>
              <w:rPr>
                <w:rFonts w:eastAsia="仿宋_GB2312"/>
                <w:kern w:val="0"/>
                <w:sz w:val="24"/>
              </w:rPr>
              <w:t>国家级计划项目</w:t>
            </w:r>
          </w:p>
        </w:tc>
        <w:tc>
          <w:tcPr>
            <w:tcW w:w="1493" w:type="dxa"/>
            <w:vMerge w:val="restart"/>
            <w:shd w:val="clear" w:color="auto" w:fill="auto"/>
            <w:vAlign w:val="center"/>
          </w:tcPr>
          <w:p>
            <w:pPr>
              <w:ind w:firstLine="480" w:firstLineChars="200"/>
              <w:jc w:val="center"/>
              <w:rPr>
                <w:rFonts w:eastAsia="仿宋_GB2312"/>
                <w:kern w:val="0"/>
                <w:sz w:val="24"/>
              </w:rPr>
            </w:pPr>
            <w:r>
              <w:rPr>
                <w:rFonts w:eastAsia="仿宋_GB2312"/>
                <w:kern w:val="0"/>
                <w:sz w:val="24"/>
              </w:rPr>
              <w:t>4</w:t>
            </w:r>
          </w:p>
        </w:tc>
        <w:tc>
          <w:tcPr>
            <w:tcW w:w="1559" w:type="dxa"/>
            <w:vMerge w:val="restart"/>
            <w:shd w:val="clear" w:color="auto" w:fill="auto"/>
            <w:vAlign w:val="center"/>
          </w:tcPr>
          <w:p>
            <w:pPr>
              <w:ind w:firstLine="480" w:firstLineChars="200"/>
              <w:jc w:val="center"/>
              <w:rPr>
                <w:rFonts w:eastAsia="仿宋_GB2312"/>
                <w:kern w:val="0"/>
                <w:sz w:val="24"/>
              </w:rPr>
            </w:pPr>
            <w:r>
              <w:rPr>
                <w:rFonts w:eastAsia="仿宋_GB2312"/>
                <w:kern w:val="0"/>
                <w:sz w:val="24"/>
              </w:rPr>
              <w:t>1</w:t>
            </w:r>
          </w:p>
        </w:tc>
        <w:tc>
          <w:tcPr>
            <w:tcW w:w="1002" w:type="dxa"/>
            <w:vMerge w:val="restart"/>
            <w:shd w:val="clear" w:color="auto" w:fill="auto"/>
            <w:vAlign w:val="center"/>
          </w:tcPr>
          <w:p>
            <w:pPr>
              <w:ind w:firstLine="480" w:firstLineChars="200"/>
              <w:jc w:val="center"/>
              <w:rPr>
                <w:rFonts w:eastAsia="仿宋_GB2312"/>
                <w:kern w:val="0"/>
                <w:sz w:val="24"/>
              </w:rPr>
            </w:pPr>
            <w:r>
              <w:rPr>
                <w:rFonts w:eastAsia="仿宋_GB2312"/>
                <w:kern w:val="0"/>
                <w:sz w:val="24"/>
              </w:rPr>
              <w:t>按预算执行</w:t>
            </w:r>
          </w:p>
        </w:tc>
        <w:tc>
          <w:tcPr>
            <w:tcW w:w="1001" w:type="dxa"/>
            <w:vMerge w:val="restart"/>
            <w:shd w:val="clear" w:color="auto" w:fill="auto"/>
            <w:vAlign w:val="center"/>
          </w:tcPr>
          <w:p>
            <w:pPr>
              <w:ind w:firstLine="480" w:firstLineChars="200"/>
              <w:jc w:val="center"/>
              <w:rPr>
                <w:rFonts w:eastAsia="仿宋_GB2312"/>
                <w:kern w:val="0"/>
                <w:sz w:val="24"/>
              </w:rPr>
            </w:pPr>
            <w:r>
              <w:rPr>
                <w:rFonts w:eastAsia="仿宋_GB2312"/>
                <w:kern w:val="0"/>
                <w:sz w:val="24"/>
              </w:rPr>
              <w:t>按预算执行</w:t>
            </w:r>
          </w:p>
        </w:tc>
        <w:tc>
          <w:tcPr>
            <w:tcW w:w="1007" w:type="dxa"/>
            <w:vMerge w:val="restart"/>
            <w:shd w:val="clear" w:color="auto" w:fill="auto"/>
            <w:vAlign w:val="center"/>
          </w:tcPr>
          <w:p>
            <w:pPr>
              <w:ind w:firstLine="480" w:firstLineChars="200"/>
              <w:jc w:val="center"/>
              <w:rPr>
                <w:rFonts w:eastAsia="仿宋_GB2312"/>
                <w:kern w:val="0"/>
                <w:sz w:val="24"/>
              </w:rPr>
            </w:pPr>
            <w:r>
              <w:rPr>
                <w:rFonts w:eastAsia="仿宋_GB2312"/>
                <w:kern w:val="0"/>
                <w:sz w:val="24"/>
              </w:rPr>
              <w:t>按预算执行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jc w:val="center"/>
        </w:trPr>
        <w:tc>
          <w:tcPr>
            <w:tcW w:w="2582" w:type="dxa"/>
            <w:tcBorders>
              <w:bottom w:val="single" w:color="auto" w:sz="4" w:space="0"/>
            </w:tcBorders>
            <w:shd w:val="clear" w:color="auto" w:fill="auto"/>
            <w:vAlign w:val="center"/>
          </w:tcPr>
          <w:p>
            <w:pPr>
              <w:ind w:firstLine="480" w:firstLineChars="200"/>
              <w:jc w:val="center"/>
              <w:rPr>
                <w:rFonts w:eastAsia="仿宋_GB2312"/>
                <w:kern w:val="0"/>
                <w:sz w:val="24"/>
              </w:rPr>
            </w:pPr>
            <w:r>
              <w:rPr>
                <w:rFonts w:eastAsia="仿宋_GB2312"/>
                <w:kern w:val="0"/>
                <w:sz w:val="24"/>
              </w:rPr>
              <w:t>省部级计划项目</w:t>
            </w:r>
          </w:p>
        </w:tc>
        <w:tc>
          <w:tcPr>
            <w:tcW w:w="1493" w:type="dxa"/>
            <w:vMerge w:val="continue"/>
            <w:shd w:val="clear" w:color="auto" w:fill="auto"/>
            <w:vAlign w:val="center"/>
          </w:tcPr>
          <w:p>
            <w:pPr>
              <w:ind w:firstLine="480" w:firstLineChars="200"/>
              <w:jc w:val="center"/>
              <w:rPr>
                <w:rFonts w:eastAsia="仿宋_GB2312"/>
                <w:kern w:val="0"/>
                <w:sz w:val="24"/>
              </w:rPr>
            </w:pPr>
          </w:p>
        </w:tc>
        <w:tc>
          <w:tcPr>
            <w:tcW w:w="1559" w:type="dxa"/>
            <w:vMerge w:val="continue"/>
            <w:shd w:val="clear" w:color="auto" w:fill="auto"/>
            <w:vAlign w:val="center"/>
          </w:tcPr>
          <w:p>
            <w:pPr>
              <w:ind w:firstLine="480" w:firstLineChars="200"/>
              <w:jc w:val="center"/>
              <w:rPr>
                <w:rFonts w:eastAsia="仿宋_GB2312"/>
                <w:kern w:val="0"/>
                <w:sz w:val="24"/>
              </w:rPr>
            </w:pPr>
          </w:p>
        </w:tc>
        <w:tc>
          <w:tcPr>
            <w:tcW w:w="1002" w:type="dxa"/>
            <w:vMerge w:val="continue"/>
            <w:tcBorders>
              <w:bottom w:val="single" w:color="auto" w:sz="4" w:space="0"/>
            </w:tcBorders>
            <w:shd w:val="clear" w:color="auto" w:fill="auto"/>
            <w:vAlign w:val="center"/>
          </w:tcPr>
          <w:p>
            <w:pPr>
              <w:ind w:firstLine="480" w:firstLineChars="200"/>
              <w:jc w:val="center"/>
              <w:rPr>
                <w:rFonts w:eastAsia="仿宋_GB2312"/>
                <w:kern w:val="0"/>
                <w:sz w:val="24"/>
              </w:rPr>
            </w:pPr>
          </w:p>
        </w:tc>
        <w:tc>
          <w:tcPr>
            <w:tcW w:w="1001" w:type="dxa"/>
            <w:vMerge w:val="continue"/>
            <w:shd w:val="clear" w:color="auto" w:fill="auto"/>
            <w:vAlign w:val="center"/>
          </w:tcPr>
          <w:p>
            <w:pPr>
              <w:ind w:firstLine="480" w:firstLineChars="200"/>
              <w:jc w:val="center"/>
              <w:rPr>
                <w:rFonts w:eastAsia="仿宋_GB2312"/>
                <w:kern w:val="0"/>
                <w:sz w:val="24"/>
              </w:rPr>
            </w:pPr>
          </w:p>
        </w:tc>
        <w:tc>
          <w:tcPr>
            <w:tcW w:w="1007" w:type="dxa"/>
            <w:vMerge w:val="continue"/>
            <w:shd w:val="clear" w:color="auto" w:fill="auto"/>
            <w:vAlign w:val="center"/>
          </w:tcPr>
          <w:p>
            <w:pPr>
              <w:ind w:firstLine="480" w:firstLineChars="200"/>
              <w:jc w:val="center"/>
              <w:rPr>
                <w:rFonts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2582" w:type="dxa"/>
            <w:tcBorders>
              <w:bottom w:val="single" w:color="auto" w:sz="4" w:space="0"/>
            </w:tcBorders>
            <w:shd w:val="clear" w:color="auto" w:fill="auto"/>
            <w:vAlign w:val="center"/>
          </w:tcPr>
          <w:p>
            <w:pPr>
              <w:ind w:firstLine="480" w:firstLineChars="200"/>
              <w:jc w:val="center"/>
              <w:rPr>
                <w:rFonts w:eastAsia="仿宋_GB2312"/>
                <w:kern w:val="0"/>
                <w:sz w:val="24"/>
              </w:rPr>
            </w:pPr>
            <w:r>
              <w:rPr>
                <w:rFonts w:eastAsia="仿宋_GB2312"/>
                <w:kern w:val="0"/>
                <w:sz w:val="24"/>
              </w:rPr>
              <w:t>厅局级计划项目</w:t>
            </w:r>
          </w:p>
        </w:tc>
        <w:tc>
          <w:tcPr>
            <w:tcW w:w="1493" w:type="dxa"/>
            <w:vMerge w:val="continue"/>
            <w:shd w:val="clear" w:color="auto" w:fill="auto"/>
            <w:vAlign w:val="center"/>
          </w:tcPr>
          <w:p>
            <w:pPr>
              <w:ind w:firstLine="480" w:firstLineChars="200"/>
              <w:jc w:val="center"/>
              <w:rPr>
                <w:rFonts w:eastAsia="仿宋_GB2312"/>
                <w:kern w:val="0"/>
                <w:sz w:val="24"/>
              </w:rPr>
            </w:pPr>
          </w:p>
        </w:tc>
        <w:tc>
          <w:tcPr>
            <w:tcW w:w="1559" w:type="dxa"/>
            <w:vMerge w:val="continue"/>
            <w:shd w:val="clear" w:color="auto" w:fill="auto"/>
            <w:vAlign w:val="center"/>
          </w:tcPr>
          <w:p>
            <w:pPr>
              <w:ind w:firstLine="480" w:firstLineChars="200"/>
              <w:jc w:val="center"/>
              <w:rPr>
                <w:rFonts w:eastAsia="仿宋_GB2312"/>
                <w:kern w:val="0"/>
                <w:sz w:val="24"/>
              </w:rPr>
            </w:pPr>
          </w:p>
        </w:tc>
        <w:tc>
          <w:tcPr>
            <w:tcW w:w="1002" w:type="dxa"/>
            <w:shd w:val="clear" w:color="auto" w:fill="auto"/>
            <w:vAlign w:val="center"/>
          </w:tcPr>
          <w:p>
            <w:pPr>
              <w:ind w:firstLine="480" w:firstLineChars="200"/>
              <w:jc w:val="center"/>
              <w:rPr>
                <w:rFonts w:eastAsia="仿宋_GB2312"/>
                <w:kern w:val="0"/>
                <w:sz w:val="24"/>
              </w:rPr>
            </w:pPr>
            <w:r>
              <w:rPr>
                <w:rFonts w:eastAsia="仿宋_GB2312"/>
                <w:kern w:val="0"/>
                <w:sz w:val="24"/>
              </w:rPr>
              <w:t>15</w:t>
            </w:r>
          </w:p>
        </w:tc>
        <w:tc>
          <w:tcPr>
            <w:tcW w:w="1001" w:type="dxa"/>
            <w:shd w:val="clear" w:color="auto" w:fill="auto"/>
            <w:vAlign w:val="center"/>
          </w:tcPr>
          <w:p>
            <w:pPr>
              <w:ind w:firstLine="480" w:firstLineChars="200"/>
              <w:jc w:val="center"/>
              <w:rPr>
                <w:rFonts w:eastAsia="仿宋_GB2312"/>
                <w:kern w:val="0"/>
                <w:sz w:val="24"/>
              </w:rPr>
            </w:pPr>
            <w:r>
              <w:rPr>
                <w:rFonts w:eastAsia="仿宋_GB2312"/>
                <w:kern w:val="0"/>
                <w:sz w:val="24"/>
              </w:rPr>
              <w:t>2</w:t>
            </w:r>
          </w:p>
        </w:tc>
        <w:tc>
          <w:tcPr>
            <w:tcW w:w="1007" w:type="dxa"/>
            <w:shd w:val="clear" w:color="auto" w:fill="auto"/>
            <w:vAlign w:val="center"/>
          </w:tcPr>
          <w:p>
            <w:pPr>
              <w:ind w:firstLine="480" w:firstLineChars="200"/>
              <w:jc w:val="center"/>
              <w:rPr>
                <w:rFonts w:eastAsia="仿宋_GB2312"/>
                <w:kern w:val="0"/>
                <w:sz w:val="24"/>
              </w:rPr>
            </w:pPr>
            <w:r>
              <w:rPr>
                <w:rFonts w:eastAsia="仿宋_GB2312"/>
                <w:kern w:val="0"/>
                <w:sz w:val="24"/>
              </w:rPr>
              <w:t>78</w:t>
            </w:r>
          </w:p>
        </w:tc>
      </w:tr>
    </w:tbl>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第十一条</w:t>
      </w:r>
      <w:r>
        <w:rPr>
          <w:rFonts w:hint="eastAsia" w:eastAsia="仿宋_GB2312"/>
          <w:sz w:val="32"/>
          <w:szCs w:val="32"/>
        </w:rPr>
        <w:t xml:space="preserve"> </w:t>
      </w:r>
      <w:r>
        <w:rPr>
          <w:rFonts w:eastAsia="仿宋_GB2312"/>
          <w:sz w:val="32"/>
          <w:szCs w:val="32"/>
        </w:rPr>
        <w:t xml:space="preserve"> </w:t>
      </w:r>
      <w:r>
        <w:rPr>
          <w:rFonts w:hint="eastAsia" w:eastAsia="仿宋_GB2312"/>
          <w:sz w:val="32"/>
          <w:szCs w:val="32"/>
        </w:rPr>
        <w:t>国家自然科学基金项目间接费用一般按照不超过项目直接费用扣除设备购置费后的一定比例核定：500万元及以下部分为20%；超过500万元至1000万元（含）的部分为15%；超过1000万元的部分为13%。其中间接费用的25%为科研管理费（学校管理费占80%，学院管理费及奖励基金占20%），65%为项目组绩效支出（</w:t>
      </w:r>
      <w:r>
        <w:rPr>
          <w:rFonts w:eastAsia="仿宋_GB2312"/>
          <w:sz w:val="32"/>
          <w:szCs w:val="32"/>
        </w:rPr>
        <w:t>其中包含学校为项目实施提供的水、电、气、暖等消耗和房屋使用的补助</w:t>
      </w:r>
      <w:r>
        <w:rPr>
          <w:rFonts w:hint="eastAsia" w:eastAsia="仿宋_GB2312"/>
          <w:sz w:val="32"/>
          <w:szCs w:val="32"/>
        </w:rPr>
        <w:t>），10%为</w:t>
      </w:r>
      <w:r>
        <w:rPr>
          <w:rFonts w:eastAsia="仿宋_GB2312"/>
          <w:sz w:val="32"/>
          <w:szCs w:val="32"/>
        </w:rPr>
        <w:t>学校科研条件占用费</w:t>
      </w:r>
      <w:r>
        <w:rPr>
          <w:rFonts w:hint="eastAsia" w:eastAsia="仿宋_GB2312"/>
          <w:sz w:val="32"/>
          <w:szCs w:val="32"/>
        </w:rPr>
        <w:t>。</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第十二条 </w:t>
      </w:r>
      <w:r>
        <w:rPr>
          <w:rFonts w:hint="eastAsia" w:eastAsia="仿宋_GB2312"/>
          <w:sz w:val="32"/>
          <w:szCs w:val="32"/>
        </w:rPr>
        <w:t xml:space="preserve"> </w:t>
      </w:r>
      <w:r>
        <w:rPr>
          <w:rFonts w:eastAsia="仿宋_GB2312"/>
          <w:sz w:val="32"/>
          <w:szCs w:val="32"/>
        </w:rPr>
        <w:t>科研绩效支出仅用于支付学校在岗实际参加项目研究人员的科研津贴。项目负责人提出绩效发放申请，明确发放方案，经所在学院（部）审核后发放。</w:t>
      </w:r>
    </w:p>
    <w:p>
      <w:pPr>
        <w:tabs>
          <w:tab w:val="left" w:pos="1620"/>
        </w:tabs>
        <w:spacing w:line="560" w:lineRule="exact"/>
        <w:ind w:firstLine="640" w:firstLineChars="200"/>
        <w:rPr>
          <w:rFonts w:eastAsia="仿宋_GB2312"/>
          <w:sz w:val="32"/>
          <w:szCs w:val="32"/>
        </w:rPr>
      </w:pPr>
      <w:r>
        <w:rPr>
          <w:rFonts w:eastAsia="仿宋_GB2312"/>
          <w:sz w:val="32"/>
          <w:szCs w:val="32"/>
        </w:rPr>
        <w:t>科研经费绩效支出按到账经费的计提比例计提发放，项目结题验收之前，发放不超过绩效支出总额的50%；项目结题验收通过后，发放剩余50%部分；未通过结题验收的项目不予发放。</w:t>
      </w:r>
    </w:p>
    <w:p>
      <w:pPr>
        <w:tabs>
          <w:tab w:val="left" w:pos="1620"/>
        </w:tabs>
        <w:spacing w:line="560" w:lineRule="exact"/>
        <w:ind w:firstLine="640" w:firstLineChars="200"/>
        <w:rPr>
          <w:rFonts w:eastAsia="仿宋_GB2312"/>
          <w:sz w:val="32"/>
          <w:szCs w:val="32"/>
        </w:rPr>
      </w:pPr>
      <w:r>
        <w:rPr>
          <w:rFonts w:eastAsia="仿宋_GB2312"/>
          <w:sz w:val="32"/>
          <w:szCs w:val="32"/>
        </w:rPr>
        <w:t>若由于项目执行不当引起项目无法结题，造成退还到校经费的，</w:t>
      </w:r>
      <w:r>
        <w:rPr>
          <w:rFonts w:hint="eastAsia" w:eastAsia="仿宋_GB2312"/>
          <w:sz w:val="32"/>
          <w:szCs w:val="32"/>
        </w:rPr>
        <w:t>项目</w:t>
      </w:r>
      <w:r>
        <w:rPr>
          <w:rFonts w:eastAsia="仿宋_GB2312"/>
          <w:sz w:val="32"/>
          <w:szCs w:val="32"/>
        </w:rPr>
        <w:t>组必须</w:t>
      </w:r>
      <w:r>
        <w:rPr>
          <w:rFonts w:hint="eastAsia" w:eastAsia="仿宋_GB2312"/>
          <w:sz w:val="32"/>
          <w:szCs w:val="32"/>
        </w:rPr>
        <w:t>退还相应绩效</w:t>
      </w:r>
      <w:r>
        <w:rPr>
          <w:rFonts w:eastAsia="仿宋_GB2312"/>
          <w:sz w:val="32"/>
          <w:szCs w:val="32"/>
        </w:rPr>
        <w:t>支出到学校，由学校统一按原渠道退回</w:t>
      </w:r>
      <w:r>
        <w:rPr>
          <w:rFonts w:hint="eastAsia" w:eastAsia="仿宋_GB2312"/>
          <w:sz w:val="32"/>
          <w:szCs w:val="32"/>
        </w:rPr>
        <w:t>。</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第十三条 </w:t>
      </w:r>
      <w:r>
        <w:rPr>
          <w:rFonts w:hint="eastAsia" w:eastAsia="仿宋_GB2312"/>
          <w:sz w:val="32"/>
          <w:szCs w:val="32"/>
        </w:rPr>
        <w:t xml:space="preserve"> </w:t>
      </w:r>
      <w:r>
        <w:rPr>
          <w:rFonts w:eastAsia="仿宋_GB2312"/>
          <w:sz w:val="32"/>
          <w:szCs w:val="32"/>
        </w:rPr>
        <w:t>为了简化科研经费使用审批流程，规范科研经费使用，</w:t>
      </w:r>
      <w:r>
        <w:rPr>
          <w:rFonts w:hint="eastAsia" w:eastAsia="仿宋_GB2312"/>
          <w:sz w:val="32"/>
          <w:szCs w:val="32"/>
        </w:rPr>
        <w:t>纵向</w:t>
      </w:r>
      <w:r>
        <w:rPr>
          <w:rFonts w:eastAsia="仿宋_GB2312"/>
          <w:sz w:val="32"/>
          <w:szCs w:val="32"/>
        </w:rPr>
        <w:t>项目直接费用支出，按以下程序审批报销：</w:t>
      </w:r>
    </w:p>
    <w:p>
      <w:pPr>
        <w:adjustRightInd w:val="0"/>
        <w:snapToGrid w:val="0"/>
        <w:spacing w:line="560" w:lineRule="exact"/>
        <w:ind w:firstLine="640" w:firstLineChars="200"/>
        <w:rPr>
          <w:rFonts w:eastAsia="仿宋_GB2312"/>
          <w:sz w:val="32"/>
          <w:szCs w:val="32"/>
        </w:rPr>
      </w:pPr>
      <w:r>
        <w:rPr>
          <w:rFonts w:eastAsia="仿宋_GB2312"/>
          <w:sz w:val="32"/>
          <w:szCs w:val="32"/>
        </w:rPr>
        <w:t>1. 单笔支出不超过5万元由项目负责人签字，计划财务处审核报销；</w:t>
      </w:r>
    </w:p>
    <w:p>
      <w:pPr>
        <w:adjustRightInd w:val="0"/>
        <w:snapToGrid w:val="0"/>
        <w:spacing w:line="560" w:lineRule="exact"/>
        <w:ind w:firstLine="640" w:firstLineChars="200"/>
        <w:rPr>
          <w:rFonts w:eastAsia="仿宋_GB2312"/>
          <w:sz w:val="32"/>
          <w:szCs w:val="32"/>
        </w:rPr>
      </w:pPr>
      <w:r>
        <w:rPr>
          <w:rFonts w:eastAsia="仿宋_GB2312"/>
          <w:sz w:val="32"/>
          <w:szCs w:val="32"/>
        </w:rPr>
        <w:t>2. 单笔支出5万元（含）～</w:t>
      </w:r>
      <w:r>
        <w:rPr>
          <w:rFonts w:hint="eastAsia" w:eastAsia="仿宋_GB2312"/>
          <w:sz w:val="32"/>
          <w:szCs w:val="32"/>
        </w:rPr>
        <w:t>5</w:t>
      </w:r>
      <w:r>
        <w:rPr>
          <w:rFonts w:eastAsia="仿宋_GB2312"/>
          <w:sz w:val="32"/>
          <w:szCs w:val="32"/>
        </w:rPr>
        <w:t>0万元由项目负责人签字，所在学院（部）负责人审核，计划财务处审核报销；</w:t>
      </w:r>
    </w:p>
    <w:p>
      <w:pPr>
        <w:adjustRightInd w:val="0"/>
        <w:snapToGrid w:val="0"/>
        <w:spacing w:line="560" w:lineRule="exact"/>
        <w:ind w:firstLine="640" w:firstLineChars="200"/>
        <w:rPr>
          <w:rFonts w:eastAsia="仿宋_GB2312"/>
          <w:sz w:val="32"/>
          <w:szCs w:val="32"/>
        </w:rPr>
      </w:pPr>
      <w:r>
        <w:rPr>
          <w:rFonts w:eastAsia="仿宋_GB2312"/>
          <w:sz w:val="32"/>
          <w:szCs w:val="32"/>
        </w:rPr>
        <w:t>3.单笔支出</w:t>
      </w:r>
      <w:r>
        <w:rPr>
          <w:rFonts w:hint="eastAsia" w:eastAsia="仿宋_GB2312"/>
          <w:sz w:val="32"/>
          <w:szCs w:val="32"/>
        </w:rPr>
        <w:t>5</w:t>
      </w:r>
      <w:r>
        <w:rPr>
          <w:rFonts w:eastAsia="仿宋_GB2312"/>
          <w:sz w:val="32"/>
          <w:szCs w:val="32"/>
        </w:rPr>
        <w:t>0万元（含）～100万元由项目负责人签字，科技处审核，计划财务处审核报销；</w:t>
      </w:r>
    </w:p>
    <w:p>
      <w:pPr>
        <w:adjustRightInd w:val="0"/>
        <w:snapToGrid w:val="0"/>
        <w:spacing w:line="560" w:lineRule="exact"/>
        <w:ind w:firstLine="640" w:firstLineChars="200"/>
        <w:rPr>
          <w:rFonts w:eastAsia="仿宋_GB2312"/>
          <w:sz w:val="32"/>
          <w:szCs w:val="32"/>
        </w:rPr>
      </w:pPr>
      <w:r>
        <w:rPr>
          <w:rFonts w:eastAsia="仿宋_GB2312"/>
          <w:sz w:val="32"/>
          <w:szCs w:val="32"/>
        </w:rPr>
        <w:t>4. 单笔支出超过100万元（含）由项目负责人签字，所在学院（部）负责人审核，科技处审核，校务会审批，计划财务处审核报销。</w:t>
      </w:r>
    </w:p>
    <w:p>
      <w:pPr>
        <w:adjustRightInd w:val="0"/>
        <w:snapToGrid w:val="0"/>
        <w:spacing w:line="560" w:lineRule="exact"/>
        <w:ind w:firstLine="640" w:firstLineChars="200"/>
        <w:rPr>
          <w:rFonts w:eastAsia="仿宋_GB2312"/>
          <w:sz w:val="32"/>
          <w:szCs w:val="32"/>
        </w:rPr>
      </w:pPr>
      <w:r>
        <w:rPr>
          <w:rFonts w:hint="eastAsia" w:eastAsia="仿宋_GB2312"/>
          <w:sz w:val="32"/>
          <w:szCs w:val="32"/>
        </w:rPr>
        <w:t>军工科研项目</w:t>
      </w:r>
      <w:r>
        <w:rPr>
          <w:rFonts w:eastAsia="仿宋_GB2312"/>
          <w:sz w:val="32"/>
          <w:szCs w:val="32"/>
        </w:rPr>
        <w:t>直接费用支出</w:t>
      </w:r>
      <w:r>
        <w:rPr>
          <w:rFonts w:hint="eastAsia" w:eastAsia="仿宋_GB2312"/>
          <w:sz w:val="32"/>
          <w:szCs w:val="32"/>
        </w:rPr>
        <w:t>采用线下审批，</w:t>
      </w:r>
      <w:r>
        <w:rPr>
          <w:rFonts w:eastAsia="仿宋_GB2312"/>
          <w:sz w:val="32"/>
          <w:szCs w:val="32"/>
        </w:rPr>
        <w:t>由项目负责人签字，所在学院（部）负责人审核，</w:t>
      </w:r>
      <w:r>
        <w:rPr>
          <w:rFonts w:hint="eastAsia" w:eastAsia="仿宋_GB2312"/>
          <w:sz w:val="32"/>
          <w:szCs w:val="32"/>
        </w:rPr>
        <w:t>科技处保密办公室负责人审核，</w:t>
      </w:r>
      <w:r>
        <w:rPr>
          <w:rFonts w:eastAsia="仿宋_GB2312"/>
          <w:sz w:val="32"/>
          <w:szCs w:val="32"/>
        </w:rPr>
        <w:t>计划财务处审核报销</w:t>
      </w:r>
      <w:r>
        <w:rPr>
          <w:rFonts w:hint="eastAsia" w:eastAsia="仿宋_GB2312"/>
          <w:sz w:val="32"/>
          <w:szCs w:val="32"/>
        </w:rPr>
        <w:t>。</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第十四条  </w:t>
      </w:r>
      <w:r>
        <w:rPr>
          <w:rFonts w:eastAsia="仿宋_GB2312"/>
          <w:sz w:val="32"/>
          <w:szCs w:val="32"/>
        </w:rPr>
        <w:t>纵向项目</w:t>
      </w:r>
      <w:r>
        <w:rPr>
          <w:rFonts w:eastAsia="仿宋_GB2312"/>
          <w:kern w:val="0"/>
          <w:sz w:val="32"/>
          <w:szCs w:val="32"/>
        </w:rPr>
        <w:t>劳务费发放实行项目负责人负责制</w:t>
      </w:r>
      <w:r>
        <w:rPr>
          <w:rFonts w:hint="eastAsia" w:eastAsia="仿宋_GB2312"/>
          <w:kern w:val="0"/>
          <w:sz w:val="32"/>
          <w:szCs w:val="32"/>
        </w:rPr>
        <w:t>，</w:t>
      </w:r>
      <w:r>
        <w:rPr>
          <w:rFonts w:eastAsia="仿宋_GB2312"/>
          <w:sz w:val="32"/>
          <w:szCs w:val="32"/>
        </w:rPr>
        <w:t>根据研究需要按月</w:t>
      </w:r>
      <w:r>
        <w:rPr>
          <w:rFonts w:hint="eastAsia" w:eastAsia="仿宋_GB2312"/>
          <w:sz w:val="32"/>
          <w:szCs w:val="32"/>
        </w:rPr>
        <w:t>、</w:t>
      </w:r>
      <w:r>
        <w:rPr>
          <w:rFonts w:eastAsia="仿宋_GB2312"/>
          <w:kern w:val="0"/>
          <w:sz w:val="32"/>
          <w:szCs w:val="32"/>
        </w:rPr>
        <w:t>按预算进行发放</w:t>
      </w:r>
      <w:r>
        <w:rPr>
          <w:rFonts w:hint="eastAsia" w:eastAsia="仿宋_GB2312"/>
          <w:kern w:val="0"/>
          <w:sz w:val="32"/>
          <w:szCs w:val="32"/>
        </w:rPr>
        <w:t>。</w:t>
      </w:r>
      <w:r>
        <w:rPr>
          <w:rFonts w:eastAsia="仿宋_GB2312"/>
          <w:kern w:val="0"/>
          <w:sz w:val="32"/>
          <w:szCs w:val="32"/>
        </w:rPr>
        <w:t>劳务收入按税法规定缴纳个人所得税</w:t>
      </w:r>
      <w:r>
        <w:rPr>
          <w:rFonts w:hint="eastAsia" w:eastAsia="仿宋_GB2312"/>
          <w:kern w:val="0"/>
          <w:sz w:val="32"/>
          <w:szCs w:val="32"/>
        </w:rPr>
        <w:t>，</w:t>
      </w:r>
      <w:r>
        <w:rPr>
          <w:rFonts w:eastAsia="仿宋_GB2312"/>
          <w:kern w:val="0"/>
          <w:sz w:val="32"/>
          <w:szCs w:val="32"/>
        </w:rPr>
        <w:t>计划财务处按税法要求履行代扣代缴义务。</w:t>
      </w:r>
      <w:r>
        <w:rPr>
          <w:rFonts w:hint="eastAsia" w:eastAsia="仿宋_GB2312"/>
          <w:kern w:val="0"/>
          <w:sz w:val="32"/>
          <w:szCs w:val="32"/>
        </w:rPr>
        <w:t>劳务费发放</w:t>
      </w:r>
      <w:r>
        <w:rPr>
          <w:rFonts w:eastAsia="仿宋_GB2312"/>
          <w:kern w:val="0"/>
          <w:sz w:val="32"/>
          <w:szCs w:val="32"/>
        </w:rPr>
        <w:t>原则上应当通过银行转账方式结算</w:t>
      </w:r>
      <w:r>
        <w:rPr>
          <w:rFonts w:hint="eastAsia" w:eastAsia="仿宋_GB2312"/>
          <w:kern w:val="0"/>
          <w:sz w:val="32"/>
          <w:szCs w:val="32"/>
        </w:rPr>
        <w:t>，</w:t>
      </w:r>
      <w:r>
        <w:rPr>
          <w:rFonts w:eastAsia="仿宋_GB2312"/>
          <w:kern w:val="0"/>
          <w:sz w:val="32"/>
          <w:szCs w:val="32"/>
        </w:rPr>
        <w:t>从严控制现金支付。</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第十五条 </w:t>
      </w:r>
      <w:r>
        <w:rPr>
          <w:rFonts w:hint="eastAsia" w:eastAsia="仿宋_GB2312"/>
          <w:kern w:val="0"/>
          <w:sz w:val="32"/>
          <w:szCs w:val="32"/>
        </w:rPr>
        <w:t xml:space="preserve"> </w:t>
      </w:r>
      <w:r>
        <w:rPr>
          <w:rFonts w:eastAsia="仿宋_GB2312"/>
          <w:kern w:val="0"/>
          <w:sz w:val="32"/>
          <w:szCs w:val="32"/>
        </w:rPr>
        <w:t>设备购置、材料采购、专用软件购买、测试实验委托、车辆租赁应严格执行《长安大学科研项目外协（外购）合同管理暂行办法》（长大科〔2016〕9号）。</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第十六条 </w:t>
      </w:r>
      <w:r>
        <w:rPr>
          <w:rFonts w:hint="eastAsia" w:eastAsia="仿宋_GB2312"/>
          <w:kern w:val="0"/>
          <w:sz w:val="32"/>
          <w:szCs w:val="32"/>
        </w:rPr>
        <w:t xml:space="preserve"> </w:t>
      </w:r>
      <w:r>
        <w:rPr>
          <w:rFonts w:eastAsia="仿宋_GB2312"/>
          <w:kern w:val="0"/>
          <w:sz w:val="32"/>
          <w:szCs w:val="32"/>
        </w:rPr>
        <w:t>差旅费支出应严格执行《长安大学差旅费管理实施细则》（长大财〔2016〕217号）。</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第十七条 </w:t>
      </w:r>
      <w:r>
        <w:rPr>
          <w:rFonts w:hint="eastAsia" w:eastAsia="仿宋_GB2312"/>
          <w:kern w:val="0"/>
          <w:sz w:val="32"/>
          <w:szCs w:val="32"/>
        </w:rPr>
        <w:t xml:space="preserve"> </w:t>
      </w:r>
      <w:r>
        <w:rPr>
          <w:rFonts w:eastAsia="仿宋_GB2312"/>
          <w:kern w:val="0"/>
          <w:sz w:val="32"/>
          <w:szCs w:val="32"/>
        </w:rPr>
        <w:t>会议费支出应严格执行《长安大学会议费管理实施细则》（长大财〔2016〕217号）和《长安大学科研业务会议管理暂行办法》（长大科〔2016〕227号）。</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第十八条 </w:t>
      </w:r>
      <w:r>
        <w:rPr>
          <w:rFonts w:hint="eastAsia" w:eastAsia="仿宋_GB2312"/>
          <w:kern w:val="0"/>
          <w:sz w:val="32"/>
          <w:szCs w:val="32"/>
        </w:rPr>
        <w:t xml:space="preserve"> </w:t>
      </w:r>
      <w:r>
        <w:rPr>
          <w:rFonts w:eastAsia="仿宋_GB2312"/>
          <w:kern w:val="0"/>
          <w:sz w:val="32"/>
          <w:szCs w:val="32"/>
        </w:rPr>
        <w:t>国际合作与交流费用支出应严格执行《长安大学教职工因公临时出国（境）管理办法》（长大外事〔2015〕249号）、《长安大学外宾接待经费管理办法》（长大外事〔2015〕248号）、《长安大学外国文教专家经费管理实施细则》（长大外事〔2016〕304号）。</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第十九条 </w:t>
      </w:r>
      <w:r>
        <w:rPr>
          <w:rFonts w:hint="eastAsia" w:eastAsia="仿宋_GB2312"/>
          <w:sz w:val="32"/>
          <w:szCs w:val="32"/>
        </w:rPr>
        <w:t xml:space="preserve"> 纵向项目</w:t>
      </w:r>
      <w:r>
        <w:rPr>
          <w:rFonts w:hint="eastAsia" w:ascii="仿宋_GB2312" w:eastAsia="仿宋_GB2312"/>
          <w:sz w:val="32"/>
          <w:szCs w:val="32"/>
        </w:rPr>
        <w:t>合同中明确规定应交付对方的设备和硬件，或无法收回的设备和硬件，项目负责人如实填写“长安大学科研经费购置固定资产（或无法收回固定资产）移交审批表”（见附表），提交项目合同或补充协议，经所在学院（部）、科研主管部门、计划财务处、国有资产管理处、实验室与设备管理处审核后，可不列入学校固定资产。</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第二十条</w:t>
      </w:r>
      <w:r>
        <w:rPr>
          <w:rFonts w:hint="eastAsia" w:eastAsia="仿宋_GB2312"/>
          <w:sz w:val="32"/>
          <w:szCs w:val="32"/>
        </w:rPr>
        <w:t xml:space="preserve"> </w:t>
      </w:r>
      <w:r>
        <w:rPr>
          <w:rFonts w:eastAsia="仿宋_GB2312"/>
          <w:sz w:val="32"/>
          <w:szCs w:val="32"/>
        </w:rPr>
        <w:t xml:space="preserve"> 学校作为项目主持单位与外单位联合承担</w:t>
      </w:r>
      <w:r>
        <w:rPr>
          <w:rFonts w:hint="eastAsia" w:eastAsia="仿宋_GB2312"/>
          <w:sz w:val="32"/>
          <w:szCs w:val="32"/>
        </w:rPr>
        <w:t>纵向</w:t>
      </w:r>
      <w:r>
        <w:rPr>
          <w:rFonts w:eastAsia="仿宋_GB2312"/>
          <w:sz w:val="32"/>
          <w:szCs w:val="32"/>
        </w:rPr>
        <w:t>项目，且总合同中已经明确项目任务与研究经费，收入中需划转给协作单位的经费，不扣管理费。</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第二十一条</w:t>
      </w:r>
      <w:r>
        <w:rPr>
          <w:rFonts w:hint="eastAsia" w:eastAsia="仿宋_GB2312"/>
          <w:sz w:val="32"/>
          <w:szCs w:val="32"/>
        </w:rPr>
        <w:t xml:space="preserve"> </w:t>
      </w:r>
      <w:r>
        <w:rPr>
          <w:rFonts w:eastAsia="仿宋_GB2312"/>
          <w:sz w:val="32"/>
          <w:szCs w:val="32"/>
        </w:rPr>
        <w:t xml:space="preserve"> 在纵向项目研究中需使用学校持有的设计、检测、施工等资质资源时，项目负责人应填写《长安大学科研活动中资质使用申请表》，由项目负责人所在学院（部）签署意见，分别经资质挂靠单位和科技处审查，报学校主管领导同意后，提请资质挂靠单位给予使用（包括提供有关证明、使用印章等）。科研合同签订生效后，根据项目到款情况，给予拥有资质单位到款经费1～5%的有偿使用费，在项目到款后按比例由科技处出具证明，计划财务处</w:t>
      </w:r>
      <w:r>
        <w:rPr>
          <w:rFonts w:hint="eastAsia" w:eastAsia="仿宋_GB2312"/>
          <w:sz w:val="32"/>
          <w:szCs w:val="32"/>
        </w:rPr>
        <w:t>计提</w:t>
      </w:r>
      <w:r>
        <w:rPr>
          <w:rFonts w:eastAsia="仿宋_GB2312"/>
          <w:sz w:val="32"/>
          <w:szCs w:val="32"/>
        </w:rPr>
        <w:t>。</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第二十二条</w:t>
      </w:r>
      <w:r>
        <w:rPr>
          <w:rFonts w:hint="eastAsia" w:eastAsia="仿宋_GB2312"/>
          <w:sz w:val="32"/>
          <w:szCs w:val="32"/>
        </w:rPr>
        <w:t xml:space="preserve"> </w:t>
      </w:r>
      <w:r>
        <w:rPr>
          <w:rFonts w:eastAsia="仿宋_GB2312"/>
          <w:sz w:val="32"/>
          <w:szCs w:val="32"/>
        </w:rPr>
        <w:t xml:space="preserve"> 对</w:t>
      </w:r>
      <w:r>
        <w:rPr>
          <w:rFonts w:hint="eastAsia" w:eastAsia="仿宋_GB2312"/>
          <w:sz w:val="32"/>
          <w:szCs w:val="32"/>
        </w:rPr>
        <w:t>项目执行过程中</w:t>
      </w:r>
      <w:r>
        <w:rPr>
          <w:rFonts w:eastAsia="仿宋_GB2312"/>
          <w:sz w:val="32"/>
          <w:szCs w:val="32"/>
        </w:rPr>
        <w:t>无故</w:t>
      </w:r>
      <w:r>
        <w:rPr>
          <w:rFonts w:hint="eastAsia" w:eastAsia="仿宋_GB2312"/>
          <w:sz w:val="32"/>
          <w:szCs w:val="32"/>
        </w:rPr>
        <w:t>拖延</w:t>
      </w:r>
      <w:r>
        <w:rPr>
          <w:rFonts w:eastAsia="仿宋_GB2312"/>
          <w:sz w:val="32"/>
          <w:szCs w:val="32"/>
        </w:rPr>
        <w:t>期限和不按合同执行、项目组</w:t>
      </w:r>
      <w:r>
        <w:rPr>
          <w:rFonts w:hint="eastAsia" w:eastAsia="仿宋_GB2312"/>
          <w:sz w:val="32"/>
          <w:szCs w:val="32"/>
        </w:rPr>
        <w:t>未</w:t>
      </w:r>
      <w:r>
        <w:rPr>
          <w:rFonts w:eastAsia="仿宋_GB2312"/>
          <w:sz w:val="32"/>
          <w:szCs w:val="32"/>
        </w:rPr>
        <w:t>说明原因，</w:t>
      </w:r>
      <w:r>
        <w:rPr>
          <w:rFonts w:hint="eastAsia" w:eastAsia="仿宋_GB2312"/>
          <w:sz w:val="32"/>
          <w:szCs w:val="32"/>
        </w:rPr>
        <w:t>且</w:t>
      </w:r>
      <w:r>
        <w:rPr>
          <w:rFonts w:eastAsia="仿宋_GB2312"/>
          <w:sz w:val="32"/>
          <w:szCs w:val="32"/>
        </w:rPr>
        <w:t>未采取补救措施的，学校有权暂停或终止项目组的经费使用权。</w:t>
      </w:r>
    </w:p>
    <w:p>
      <w:pPr>
        <w:pStyle w:val="11"/>
        <w:spacing w:line="560" w:lineRule="exact"/>
        <w:ind w:firstLine="0" w:firstLineChars="0"/>
        <w:jc w:val="center"/>
        <w:outlineLvl w:val="0"/>
        <w:rPr>
          <w:rFonts w:ascii="黑体" w:hAnsi="黑体" w:eastAsia="黑体"/>
          <w:sz w:val="32"/>
          <w:szCs w:val="32"/>
        </w:rPr>
      </w:pPr>
      <w:r>
        <w:rPr>
          <w:rFonts w:hint="eastAsia" w:ascii="黑体" w:hAnsi="黑体" w:eastAsia="黑体"/>
          <w:sz w:val="32"/>
          <w:szCs w:val="32"/>
        </w:rPr>
        <w:t xml:space="preserve">第四章  </w:t>
      </w:r>
      <w:r>
        <w:rPr>
          <w:rFonts w:ascii="黑体" w:hAnsi="黑体" w:eastAsia="黑体"/>
          <w:sz w:val="32"/>
          <w:szCs w:val="32"/>
        </w:rPr>
        <w:t>预算调整</w:t>
      </w:r>
    </w:p>
    <w:p>
      <w:pPr>
        <w:adjustRightInd w:val="0"/>
        <w:snapToGrid w:val="0"/>
        <w:spacing w:line="560" w:lineRule="exact"/>
        <w:ind w:firstLine="643" w:firstLineChars="200"/>
        <w:jc w:val="left"/>
        <w:rPr>
          <w:rFonts w:eastAsia="仿宋_GB2312"/>
          <w:kern w:val="0"/>
          <w:sz w:val="32"/>
          <w:szCs w:val="32"/>
        </w:rPr>
      </w:pPr>
      <w:r>
        <w:rPr>
          <w:rFonts w:hint="eastAsia" w:eastAsia="仿宋_GB2312"/>
          <w:b/>
          <w:kern w:val="0"/>
          <w:sz w:val="32"/>
          <w:szCs w:val="32"/>
        </w:rPr>
        <w:t xml:space="preserve">第二十三条  </w:t>
      </w:r>
      <w:r>
        <w:rPr>
          <w:rFonts w:eastAsia="仿宋_GB2312"/>
          <w:kern w:val="0"/>
          <w:sz w:val="32"/>
          <w:szCs w:val="32"/>
        </w:rPr>
        <w:t>项目</w:t>
      </w:r>
      <w:r>
        <w:rPr>
          <w:rFonts w:eastAsia="仿宋_GB2312"/>
          <w:sz w:val="32"/>
          <w:szCs w:val="32"/>
        </w:rPr>
        <w:t>负责人</w:t>
      </w:r>
      <w:r>
        <w:rPr>
          <w:rFonts w:eastAsia="仿宋_GB2312"/>
          <w:kern w:val="0"/>
          <w:sz w:val="32"/>
          <w:szCs w:val="32"/>
        </w:rPr>
        <w:t>应严格执行</w:t>
      </w:r>
      <w:r>
        <w:rPr>
          <w:rFonts w:hint="eastAsia" w:eastAsia="仿宋_GB2312"/>
          <w:kern w:val="0"/>
          <w:sz w:val="32"/>
          <w:szCs w:val="32"/>
        </w:rPr>
        <w:t>批复</w:t>
      </w:r>
      <w:r>
        <w:rPr>
          <w:rFonts w:eastAsia="仿宋_GB2312"/>
          <w:kern w:val="0"/>
          <w:sz w:val="32"/>
          <w:szCs w:val="32"/>
        </w:rPr>
        <w:t>的项目预算，纵向项目预算一般不予调整，确</w:t>
      </w:r>
      <w:r>
        <w:rPr>
          <w:rFonts w:hint="eastAsia" w:eastAsia="仿宋_GB2312"/>
          <w:kern w:val="0"/>
          <w:sz w:val="32"/>
          <w:szCs w:val="32"/>
        </w:rPr>
        <w:t>需</w:t>
      </w:r>
      <w:r>
        <w:rPr>
          <w:rFonts w:eastAsia="仿宋_GB2312"/>
          <w:kern w:val="0"/>
          <w:sz w:val="32"/>
          <w:szCs w:val="32"/>
        </w:rPr>
        <w:t>调整的，应当按照规定报批。</w:t>
      </w:r>
      <w:r>
        <w:rPr>
          <w:rFonts w:hint="eastAsia" w:eastAsia="仿宋_GB2312"/>
          <w:kern w:val="0"/>
          <w:sz w:val="32"/>
          <w:szCs w:val="32"/>
        </w:rPr>
        <w:t>预算调整原则上每年度不超过两次。</w:t>
      </w:r>
    </w:p>
    <w:p>
      <w:pPr>
        <w:adjustRightInd w:val="0"/>
        <w:snapToGrid w:val="0"/>
        <w:spacing w:line="560" w:lineRule="exact"/>
        <w:ind w:firstLine="640" w:firstLineChars="200"/>
        <w:rPr>
          <w:rFonts w:eastAsia="仿宋_GB2312"/>
          <w:sz w:val="32"/>
          <w:szCs w:val="32"/>
        </w:rPr>
      </w:pPr>
      <w:r>
        <w:rPr>
          <w:rFonts w:eastAsia="仿宋_GB2312"/>
          <w:sz w:val="32"/>
          <w:szCs w:val="32"/>
        </w:rPr>
        <w:t>1. 项目预算总额不变的情况下，材料费、测试化验加工费、出版/文献/信息传播/知识产权事务费、其他支出预算如需调整，由项目负责人根据科研活动的实际需要提出申请，报科技处和计划财务处审批。</w:t>
      </w:r>
    </w:p>
    <w:p>
      <w:pPr>
        <w:adjustRightInd w:val="0"/>
        <w:snapToGrid w:val="0"/>
        <w:spacing w:line="560" w:lineRule="exact"/>
        <w:ind w:firstLine="640" w:firstLineChars="200"/>
        <w:rPr>
          <w:rFonts w:eastAsia="仿宋_GB2312"/>
          <w:sz w:val="32"/>
          <w:szCs w:val="32"/>
        </w:rPr>
      </w:pPr>
      <w:r>
        <w:rPr>
          <w:rFonts w:eastAsia="仿宋_GB2312"/>
          <w:sz w:val="32"/>
          <w:szCs w:val="32"/>
        </w:rPr>
        <w:t>2. 会议费、差旅费、国际合作与交流费在不突破三项支出预算总额的前提下可调剂使用。</w:t>
      </w:r>
    </w:p>
    <w:p>
      <w:pPr>
        <w:adjustRightInd w:val="0"/>
        <w:snapToGrid w:val="0"/>
        <w:spacing w:line="560" w:lineRule="exact"/>
        <w:ind w:firstLine="640" w:firstLineChars="200"/>
        <w:rPr>
          <w:rFonts w:eastAsia="仿宋_GB2312"/>
          <w:color w:val="FF0000"/>
          <w:sz w:val="32"/>
          <w:szCs w:val="32"/>
        </w:rPr>
      </w:pPr>
      <w:r>
        <w:rPr>
          <w:rFonts w:eastAsia="仿宋_GB2312"/>
          <w:color w:val="FF0000"/>
          <w:sz w:val="32"/>
          <w:szCs w:val="32"/>
        </w:rPr>
        <w:t>3. 设备费、专家咨询费、劳务费预算一般不予调增，如需调减的，由项目负责人提出申请，报科技处和计划财务处审批后，用于项目其他方面支出。</w:t>
      </w:r>
    </w:p>
    <w:p>
      <w:pPr>
        <w:adjustRightInd w:val="0"/>
        <w:snapToGrid w:val="0"/>
        <w:spacing w:line="560" w:lineRule="exact"/>
        <w:ind w:firstLine="640" w:firstLineChars="200"/>
        <w:rPr>
          <w:rFonts w:eastAsia="仿宋_GB2312"/>
          <w:sz w:val="32"/>
          <w:szCs w:val="32"/>
        </w:rPr>
      </w:pPr>
      <w:r>
        <w:rPr>
          <w:rFonts w:eastAsia="仿宋_GB2312"/>
          <w:sz w:val="32"/>
          <w:szCs w:val="32"/>
        </w:rPr>
        <w:t>4. 项目负责人调整预算需填写《</w:t>
      </w:r>
      <w:r>
        <w:fldChar w:fldCharType="begin"/>
      </w:r>
      <w:r>
        <w:instrText xml:space="preserve"> HYPERLINK "http://kj.chd.edu.cn/info/1044/3933.htm" \t "_blank" \o "科研项目经费预算调整申请表" </w:instrText>
      </w:r>
      <w:r>
        <w:fldChar w:fldCharType="separate"/>
      </w:r>
      <w:r>
        <w:rPr>
          <w:rFonts w:eastAsia="仿宋_GB2312"/>
          <w:sz w:val="32"/>
          <w:szCs w:val="32"/>
        </w:rPr>
        <w:t>科研项目经费预算调整申请表</w:t>
      </w:r>
      <w:r>
        <w:rPr>
          <w:rFonts w:eastAsia="仿宋_GB2312"/>
          <w:sz w:val="32"/>
          <w:szCs w:val="32"/>
        </w:rPr>
        <w:fldChar w:fldCharType="end"/>
      </w:r>
      <w:r>
        <w:rPr>
          <w:rFonts w:eastAsia="仿宋_GB2312"/>
          <w:sz w:val="32"/>
          <w:szCs w:val="32"/>
        </w:rPr>
        <w:t>》，经所在学院（部）审核后，报科技处和计划财务处审批</w:t>
      </w:r>
      <w:r>
        <w:rPr>
          <w:rFonts w:hint="eastAsia" w:eastAsia="仿宋_GB2312"/>
          <w:sz w:val="32"/>
          <w:szCs w:val="32"/>
        </w:rPr>
        <w:t>（军工科研项目</w:t>
      </w:r>
      <w:r>
        <w:rPr>
          <w:rFonts w:eastAsia="仿宋_GB2312"/>
          <w:sz w:val="32"/>
          <w:szCs w:val="32"/>
        </w:rPr>
        <w:t>报科技处</w:t>
      </w:r>
      <w:r>
        <w:rPr>
          <w:rFonts w:hint="eastAsia" w:eastAsia="仿宋_GB2312"/>
          <w:sz w:val="32"/>
          <w:szCs w:val="32"/>
        </w:rPr>
        <w:t>保密办公室</w:t>
      </w:r>
      <w:r>
        <w:rPr>
          <w:rFonts w:eastAsia="仿宋_GB2312"/>
          <w:sz w:val="32"/>
          <w:szCs w:val="32"/>
        </w:rPr>
        <w:t>和计划财务处审批</w:t>
      </w:r>
      <w:r>
        <w:rPr>
          <w:rFonts w:hint="eastAsia" w:eastAsia="仿宋_GB2312"/>
          <w:sz w:val="32"/>
          <w:szCs w:val="32"/>
        </w:rPr>
        <w:t>）</w:t>
      </w:r>
      <w:r>
        <w:rPr>
          <w:rFonts w:eastAsia="仿宋_GB2312"/>
          <w:sz w:val="32"/>
          <w:szCs w:val="32"/>
        </w:rPr>
        <w:t>，审核通过后项目按照调整后预算执行。</w:t>
      </w:r>
    </w:p>
    <w:p>
      <w:pPr>
        <w:pStyle w:val="11"/>
        <w:spacing w:line="560" w:lineRule="exact"/>
        <w:ind w:firstLine="0" w:firstLineChars="0"/>
        <w:jc w:val="center"/>
        <w:outlineLvl w:val="0"/>
        <w:rPr>
          <w:rFonts w:ascii="黑体" w:hAnsi="黑体" w:eastAsia="黑体"/>
          <w:sz w:val="32"/>
          <w:szCs w:val="32"/>
        </w:rPr>
      </w:pPr>
      <w:bookmarkStart w:id="0" w:name="_GoBack"/>
      <w:bookmarkEnd w:id="0"/>
      <w:r>
        <w:rPr>
          <w:rFonts w:hint="eastAsia" w:ascii="黑体" w:hAnsi="黑体" w:eastAsia="黑体"/>
          <w:sz w:val="32"/>
          <w:szCs w:val="32"/>
        </w:rPr>
        <w:t xml:space="preserve">第五章  </w:t>
      </w:r>
      <w:r>
        <w:rPr>
          <w:rFonts w:ascii="黑体" w:hAnsi="黑体" w:eastAsia="黑体"/>
          <w:sz w:val="32"/>
          <w:szCs w:val="32"/>
        </w:rPr>
        <w:t>结余经费管理</w:t>
      </w:r>
    </w:p>
    <w:p>
      <w:pPr>
        <w:adjustRightInd w:val="0"/>
        <w:snapToGrid w:val="0"/>
        <w:spacing w:line="560" w:lineRule="exact"/>
        <w:ind w:firstLine="643" w:firstLineChars="200"/>
        <w:jc w:val="left"/>
        <w:rPr>
          <w:rFonts w:eastAsia="仿宋_GB2312"/>
          <w:bCs/>
          <w:sz w:val="32"/>
          <w:szCs w:val="32"/>
        </w:rPr>
      </w:pPr>
      <w:r>
        <w:rPr>
          <w:rFonts w:hint="eastAsia" w:eastAsia="仿宋_GB2312"/>
          <w:b/>
          <w:kern w:val="0"/>
          <w:sz w:val="32"/>
          <w:szCs w:val="32"/>
        </w:rPr>
        <w:t xml:space="preserve">第二十四条  </w:t>
      </w:r>
      <w:r>
        <w:rPr>
          <w:rFonts w:eastAsia="仿宋_GB2312"/>
          <w:sz w:val="32"/>
          <w:szCs w:val="32"/>
        </w:rPr>
        <w:t>国家级计划项目结题后的结余经费仍保留在科研项目账户，2年内按原项目支出范围列支，2年后</w:t>
      </w:r>
      <w:r>
        <w:rPr>
          <w:rFonts w:hint="eastAsia" w:eastAsia="仿宋_GB2312"/>
          <w:sz w:val="32"/>
          <w:szCs w:val="32"/>
        </w:rPr>
        <w:t>剩余结余</w:t>
      </w:r>
      <w:r>
        <w:rPr>
          <w:rFonts w:eastAsia="仿宋_GB2312"/>
          <w:sz w:val="32"/>
          <w:szCs w:val="32"/>
        </w:rPr>
        <w:t>经费按原渠道</w:t>
      </w:r>
      <w:r>
        <w:rPr>
          <w:rFonts w:hint="eastAsia" w:eastAsia="仿宋_GB2312"/>
          <w:sz w:val="32"/>
          <w:szCs w:val="32"/>
        </w:rPr>
        <w:t>退回</w:t>
      </w:r>
      <w:r>
        <w:rPr>
          <w:rFonts w:eastAsia="仿宋_GB2312"/>
          <w:sz w:val="32"/>
          <w:szCs w:val="32"/>
        </w:rPr>
        <w:t>。</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第二十五条  </w:t>
      </w:r>
      <w:r>
        <w:rPr>
          <w:rFonts w:eastAsia="仿宋_GB2312"/>
          <w:sz w:val="32"/>
          <w:szCs w:val="32"/>
        </w:rPr>
        <w:t>省部级计划项目和厅局级计划项目结题后，任务下达单位对科研项目结余经费的处理另有规定的，按有关规定办理。任务下达单位对科研项目结余经费没有专门规定的，</w:t>
      </w:r>
      <w:r>
        <w:rPr>
          <w:rFonts w:hint="eastAsia" w:eastAsia="仿宋_GB2312"/>
          <w:sz w:val="32"/>
          <w:szCs w:val="32"/>
        </w:rPr>
        <w:t>项目负责人在项目</w:t>
      </w:r>
      <w:r>
        <w:rPr>
          <w:rFonts w:eastAsia="仿宋_GB2312"/>
          <w:sz w:val="32"/>
          <w:szCs w:val="32"/>
        </w:rPr>
        <w:t>验收后6个月内，向科技处提交经费决算报表及委托方（任务下达单位）的验收材料（验收意见、证书等），经科技处审核</w:t>
      </w:r>
      <w:r>
        <w:rPr>
          <w:rFonts w:hint="eastAsia" w:eastAsia="仿宋_GB2312"/>
          <w:sz w:val="32"/>
          <w:szCs w:val="32"/>
        </w:rPr>
        <w:t>后</w:t>
      </w:r>
      <w:r>
        <w:rPr>
          <w:rFonts w:eastAsia="仿宋_GB2312"/>
          <w:sz w:val="32"/>
          <w:szCs w:val="32"/>
        </w:rPr>
        <w:t>办理</w:t>
      </w:r>
      <w:r>
        <w:rPr>
          <w:rFonts w:hint="eastAsia" w:eastAsia="仿宋_GB2312"/>
          <w:sz w:val="32"/>
          <w:szCs w:val="32"/>
        </w:rPr>
        <w:t>项目校内</w:t>
      </w:r>
      <w:r>
        <w:rPr>
          <w:rFonts w:eastAsia="仿宋_GB2312"/>
          <w:sz w:val="32"/>
          <w:szCs w:val="32"/>
        </w:rPr>
        <w:t>结题和经费结转手续。</w:t>
      </w:r>
    </w:p>
    <w:p>
      <w:pPr>
        <w:adjustRightInd w:val="0"/>
        <w:snapToGrid w:val="0"/>
        <w:spacing w:line="560" w:lineRule="exact"/>
        <w:ind w:firstLine="643" w:firstLineChars="200"/>
        <w:jc w:val="left"/>
        <w:rPr>
          <w:rFonts w:eastAsia="仿宋_GB2312"/>
          <w:bCs/>
          <w:sz w:val="32"/>
          <w:szCs w:val="32"/>
        </w:rPr>
      </w:pPr>
      <w:r>
        <w:rPr>
          <w:rFonts w:hint="eastAsia" w:eastAsia="仿宋_GB2312"/>
          <w:b/>
          <w:kern w:val="0"/>
          <w:sz w:val="32"/>
          <w:szCs w:val="32"/>
        </w:rPr>
        <w:t xml:space="preserve">第二十六条  </w:t>
      </w:r>
      <w:r>
        <w:rPr>
          <w:rFonts w:eastAsia="仿宋_GB2312"/>
          <w:bCs/>
          <w:sz w:val="32"/>
          <w:szCs w:val="32"/>
        </w:rPr>
        <w:t>科技处根据项目负责人提交的已结题项目的相关材料，及时向计划财务处提供结账项目信息，办理结账手续。</w:t>
      </w:r>
    </w:p>
    <w:p>
      <w:pPr>
        <w:pStyle w:val="2"/>
        <w:tabs>
          <w:tab w:val="left" w:pos="-735"/>
          <w:tab w:val="left" w:pos="-525"/>
        </w:tabs>
        <w:spacing w:line="560" w:lineRule="exact"/>
        <w:ind w:firstLine="640" w:firstLineChars="200"/>
        <w:rPr>
          <w:rFonts w:ascii="Times New Roman" w:hAnsi="Times New Roman" w:eastAsia="仿宋_GB2312"/>
          <w:bCs/>
          <w:sz w:val="32"/>
          <w:szCs w:val="32"/>
        </w:rPr>
      </w:pPr>
      <w:r>
        <w:rPr>
          <w:rFonts w:ascii="Times New Roman" w:hAnsi="Times New Roman" w:eastAsia="仿宋_GB2312"/>
          <w:bCs/>
          <w:sz w:val="32"/>
          <w:szCs w:val="32"/>
        </w:rPr>
        <w:t>1. 项目负责人应在办理完</w:t>
      </w:r>
      <w:r>
        <w:rPr>
          <w:rFonts w:hint="eastAsia" w:ascii="Times New Roman" w:hAnsi="Times New Roman" w:eastAsia="仿宋_GB2312"/>
          <w:bCs/>
          <w:sz w:val="32"/>
          <w:szCs w:val="32"/>
        </w:rPr>
        <w:t>校内</w:t>
      </w:r>
      <w:r>
        <w:rPr>
          <w:rFonts w:ascii="Times New Roman" w:hAnsi="Times New Roman" w:eastAsia="仿宋_GB2312"/>
          <w:bCs/>
          <w:sz w:val="32"/>
          <w:szCs w:val="32"/>
        </w:rPr>
        <w:t>结题手续后的3个月内填写《长安大学科研项目结账申请表》，报科技处审核，申请办理结账。</w:t>
      </w:r>
    </w:p>
    <w:p>
      <w:pPr>
        <w:pStyle w:val="2"/>
        <w:tabs>
          <w:tab w:val="left" w:pos="-735"/>
          <w:tab w:val="left" w:pos="-525"/>
        </w:tabs>
        <w:spacing w:line="560" w:lineRule="exact"/>
        <w:ind w:firstLine="640" w:firstLineChars="200"/>
        <w:rPr>
          <w:rFonts w:ascii="Times New Roman" w:hAnsi="Times New Roman" w:eastAsia="仿宋_GB2312"/>
          <w:bCs/>
          <w:sz w:val="32"/>
          <w:szCs w:val="32"/>
        </w:rPr>
      </w:pPr>
      <w:r>
        <w:rPr>
          <w:rFonts w:ascii="Times New Roman" w:hAnsi="Times New Roman" w:eastAsia="仿宋_GB2312"/>
          <w:bCs/>
          <w:sz w:val="32"/>
          <w:szCs w:val="32"/>
        </w:rPr>
        <w:t>2. 项目负责人应在结账前全面清理经费收支款项。借款应在结题之前全部报销或归还，应付款应在经费结账前全部处理完毕。</w:t>
      </w:r>
    </w:p>
    <w:p>
      <w:pPr>
        <w:pStyle w:val="2"/>
        <w:tabs>
          <w:tab w:val="left" w:pos="-735"/>
          <w:tab w:val="left" w:pos="-525"/>
        </w:tabs>
        <w:spacing w:line="560" w:lineRule="exact"/>
        <w:ind w:firstLine="640" w:firstLineChars="200"/>
        <w:rPr>
          <w:rFonts w:ascii="Times New Roman" w:hAnsi="Times New Roman" w:eastAsia="仿宋_GB2312"/>
          <w:bCs/>
          <w:sz w:val="32"/>
          <w:szCs w:val="32"/>
        </w:rPr>
      </w:pPr>
      <w:r>
        <w:rPr>
          <w:rFonts w:ascii="Times New Roman" w:hAnsi="Times New Roman" w:eastAsia="仿宋_GB2312"/>
          <w:bCs/>
          <w:sz w:val="32"/>
          <w:szCs w:val="32"/>
        </w:rPr>
        <w:t>3. 无正当理由逾期不办理结账手续的科研项目，学校有权予以结账</w:t>
      </w:r>
      <w:r>
        <w:rPr>
          <w:rFonts w:hint="eastAsia" w:ascii="Times New Roman" w:hAnsi="Times New Roman" w:eastAsia="仿宋_GB2312"/>
          <w:bCs/>
          <w:sz w:val="32"/>
          <w:szCs w:val="32"/>
        </w:rPr>
        <w:t>，冻结结余经费</w:t>
      </w:r>
      <w:r>
        <w:rPr>
          <w:rFonts w:ascii="Times New Roman" w:hAnsi="Times New Roman" w:eastAsia="仿宋_GB2312"/>
          <w:bCs/>
          <w:sz w:val="32"/>
          <w:szCs w:val="32"/>
        </w:rPr>
        <w:t>。</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第二十七条  </w:t>
      </w:r>
      <w:r>
        <w:rPr>
          <w:rFonts w:eastAsia="仿宋_GB2312"/>
          <w:sz w:val="32"/>
          <w:szCs w:val="32"/>
        </w:rPr>
        <w:t>省部级计划项目和厅局级计划项目结余经费全部转入项目组负责人科研发展基金账户，按原项目支出范围列支。科研人员科研创新发展基金属于科研经费，其使用应符合国家的有关法规和政策。项目负责人按照支出要求安排经费使用，由所在学院（部）负责审核。科研人员调离学校时，其科研创新发展基金纳入学校科研创新发展基金。</w:t>
      </w:r>
    </w:p>
    <w:p>
      <w:pPr>
        <w:pStyle w:val="11"/>
        <w:spacing w:line="560" w:lineRule="exact"/>
        <w:ind w:firstLine="0" w:firstLineChars="0"/>
        <w:jc w:val="center"/>
        <w:outlineLvl w:val="0"/>
        <w:rPr>
          <w:rFonts w:ascii="黑体" w:hAnsi="黑体" w:eastAsia="黑体"/>
          <w:sz w:val="32"/>
          <w:szCs w:val="32"/>
        </w:rPr>
      </w:pPr>
      <w:r>
        <w:rPr>
          <w:rFonts w:hint="eastAsia" w:ascii="黑体" w:hAnsi="黑体" w:eastAsia="黑体"/>
          <w:sz w:val="32"/>
          <w:szCs w:val="32"/>
        </w:rPr>
        <w:t xml:space="preserve">第六章  </w:t>
      </w:r>
      <w:r>
        <w:rPr>
          <w:rFonts w:ascii="黑体" w:hAnsi="黑体" w:eastAsia="黑体"/>
          <w:sz w:val="32"/>
          <w:szCs w:val="32"/>
        </w:rPr>
        <w:t>科研经费内部公开</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第二十八条  </w:t>
      </w:r>
      <w:r>
        <w:rPr>
          <w:rFonts w:eastAsia="仿宋_GB2312"/>
          <w:sz w:val="32"/>
          <w:szCs w:val="32"/>
        </w:rPr>
        <w:t>纵向项目科研经费管理实行内部公开制度。纵向项目的基本</w:t>
      </w:r>
      <w:r>
        <w:rPr>
          <w:rFonts w:hint="eastAsia" w:eastAsia="仿宋_GB2312"/>
          <w:sz w:val="32"/>
          <w:szCs w:val="32"/>
        </w:rPr>
        <w:t>信息、</w:t>
      </w:r>
      <w:r>
        <w:rPr>
          <w:rFonts w:eastAsia="仿宋_GB2312"/>
          <w:sz w:val="32"/>
          <w:szCs w:val="32"/>
        </w:rPr>
        <w:t>经费预算、预算调整结果、单笔超过100万元（含）的科研经费支出、单笔超过</w:t>
      </w:r>
      <w:r>
        <w:rPr>
          <w:rFonts w:hint="eastAsia" w:eastAsia="仿宋_GB2312"/>
          <w:sz w:val="32"/>
          <w:szCs w:val="32"/>
        </w:rPr>
        <w:t>1</w:t>
      </w:r>
      <w:r>
        <w:rPr>
          <w:rFonts w:eastAsia="仿宋_GB2312"/>
          <w:sz w:val="32"/>
          <w:szCs w:val="32"/>
        </w:rPr>
        <w:t>0万元（含）的项目外协外购经费支出、绩效支出、单价超过10万元（含）的大型仪器设备购置经费支出等信息，在</w:t>
      </w:r>
      <w:r>
        <w:rPr>
          <w:rFonts w:hint="eastAsia" w:eastAsia="仿宋_GB2312"/>
          <w:sz w:val="32"/>
          <w:szCs w:val="32"/>
        </w:rPr>
        <w:t>学校科研管理信息化平台系统通知栏公开</w:t>
      </w:r>
      <w:r>
        <w:rPr>
          <w:rFonts w:eastAsia="仿宋_GB2312"/>
          <w:sz w:val="32"/>
          <w:szCs w:val="32"/>
        </w:rPr>
        <w:t>。</w:t>
      </w:r>
    </w:p>
    <w:p>
      <w:pPr>
        <w:pStyle w:val="2"/>
        <w:tabs>
          <w:tab w:val="left" w:pos="-735"/>
          <w:tab w:val="left" w:pos="-525"/>
        </w:tabs>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军工科研项目相关信息公开必须经过保密办公室审核。</w:t>
      </w:r>
    </w:p>
    <w:p>
      <w:pPr>
        <w:pStyle w:val="11"/>
        <w:spacing w:line="560" w:lineRule="exact"/>
        <w:ind w:firstLine="0" w:firstLineChars="0"/>
        <w:jc w:val="center"/>
        <w:outlineLvl w:val="0"/>
        <w:rPr>
          <w:rFonts w:ascii="黑体" w:hAnsi="黑体" w:eastAsia="黑体"/>
          <w:sz w:val="32"/>
          <w:szCs w:val="32"/>
        </w:rPr>
      </w:pPr>
      <w:r>
        <w:rPr>
          <w:rFonts w:hint="eastAsia" w:ascii="黑体" w:hAnsi="黑体" w:eastAsia="黑体"/>
          <w:sz w:val="32"/>
          <w:szCs w:val="32"/>
        </w:rPr>
        <w:t xml:space="preserve">第七章  </w:t>
      </w:r>
      <w:r>
        <w:rPr>
          <w:rFonts w:ascii="黑体" w:hAnsi="黑体" w:eastAsia="黑体"/>
          <w:sz w:val="32"/>
          <w:szCs w:val="32"/>
        </w:rPr>
        <w:t>附则</w:t>
      </w:r>
    </w:p>
    <w:p>
      <w:pPr>
        <w:adjustRightInd w:val="0"/>
        <w:snapToGrid w:val="0"/>
        <w:spacing w:line="560" w:lineRule="exact"/>
        <w:ind w:firstLine="643" w:firstLineChars="200"/>
        <w:jc w:val="left"/>
        <w:rPr>
          <w:rFonts w:eastAsia="仿宋_GB2312"/>
          <w:sz w:val="32"/>
          <w:szCs w:val="32"/>
        </w:rPr>
      </w:pPr>
      <w:r>
        <w:rPr>
          <w:rFonts w:hint="eastAsia" w:eastAsia="仿宋_GB2312"/>
          <w:b/>
          <w:kern w:val="0"/>
          <w:sz w:val="32"/>
          <w:szCs w:val="32"/>
        </w:rPr>
        <w:t xml:space="preserve">第二十九条  </w:t>
      </w:r>
      <w:r>
        <w:rPr>
          <w:rFonts w:eastAsia="仿宋_GB2312"/>
          <w:sz w:val="32"/>
          <w:szCs w:val="32"/>
        </w:rPr>
        <w:t>本办法自201</w:t>
      </w:r>
      <w:r>
        <w:rPr>
          <w:rFonts w:hint="eastAsia" w:eastAsia="仿宋_GB2312"/>
          <w:sz w:val="32"/>
          <w:szCs w:val="32"/>
        </w:rPr>
        <w:t>7</w:t>
      </w:r>
      <w:r>
        <w:rPr>
          <w:rFonts w:eastAsia="仿宋_GB2312"/>
          <w:sz w:val="32"/>
          <w:szCs w:val="32"/>
        </w:rPr>
        <w:t>年</w:t>
      </w:r>
      <w:r>
        <w:rPr>
          <w:rFonts w:hint="eastAsia" w:eastAsia="仿宋_GB2312"/>
          <w:sz w:val="32"/>
          <w:szCs w:val="32"/>
        </w:rPr>
        <w:t>1</w:t>
      </w:r>
      <w:r>
        <w:rPr>
          <w:rFonts w:eastAsia="仿宋_GB2312"/>
          <w:sz w:val="32"/>
          <w:szCs w:val="32"/>
        </w:rPr>
        <w:t>月</w:t>
      </w:r>
      <w:r>
        <w:rPr>
          <w:rFonts w:hint="eastAsia" w:eastAsia="仿宋_GB2312"/>
          <w:sz w:val="32"/>
          <w:szCs w:val="32"/>
        </w:rPr>
        <w:t>1</w:t>
      </w:r>
      <w:r>
        <w:rPr>
          <w:rFonts w:eastAsia="仿宋_GB2312"/>
          <w:sz w:val="32"/>
          <w:szCs w:val="32"/>
        </w:rPr>
        <w:t>日起执行，由</w:t>
      </w:r>
      <w:r>
        <w:rPr>
          <w:rFonts w:hint="eastAsia" w:eastAsia="仿宋_GB2312"/>
          <w:sz w:val="32"/>
          <w:szCs w:val="32"/>
        </w:rPr>
        <w:t>科技处、</w:t>
      </w:r>
      <w:r>
        <w:rPr>
          <w:rFonts w:eastAsia="仿宋_GB2312"/>
          <w:sz w:val="32"/>
          <w:szCs w:val="32"/>
        </w:rPr>
        <w:t>计划财务处负责解释。</w:t>
      </w:r>
    </w:p>
    <w:p>
      <w:pPr>
        <w:spacing w:line="560" w:lineRule="exact"/>
        <w:jc w:val="left"/>
        <w:rPr>
          <w:rFonts w:hint="eastAsia" w:ascii="黑体" w:hAnsi="黑体" w:eastAsia="黑体"/>
          <w:sz w:val="32"/>
          <w:szCs w:val="32"/>
        </w:rPr>
      </w:pPr>
      <w:r>
        <w:rPr>
          <w:rFonts w:ascii="仿宋_GB2312" w:eastAsia="仿宋_GB2312"/>
          <w:b/>
          <w:sz w:val="30"/>
          <w:szCs w:val="30"/>
        </w:rPr>
        <w:br w:type="page"/>
      </w:r>
      <w:r>
        <w:rPr>
          <w:rFonts w:hint="eastAsia" w:ascii="黑体" w:hAnsi="黑体" w:eastAsia="黑体"/>
          <w:sz w:val="32"/>
          <w:szCs w:val="32"/>
        </w:rPr>
        <w:t>附表</w:t>
      </w:r>
    </w:p>
    <w:p>
      <w:pPr>
        <w:spacing w:line="560" w:lineRule="exact"/>
        <w:jc w:val="center"/>
        <w:rPr>
          <w:rFonts w:hint="eastAsia" w:ascii="黑体" w:eastAsia="黑体"/>
          <w:sz w:val="28"/>
          <w:szCs w:val="28"/>
        </w:rPr>
      </w:pPr>
      <w:r>
        <w:rPr>
          <w:rFonts w:hint="eastAsia" w:ascii="黑体" w:eastAsia="黑体"/>
          <w:sz w:val="28"/>
          <w:szCs w:val="28"/>
        </w:rPr>
        <w:t>长安大学科研经费购置固定资产（或无法收回固定资产）移交审批表</w:t>
      </w:r>
    </w:p>
    <w:tbl>
      <w:tblPr>
        <w:tblStyle w:val="7"/>
        <w:tblW w:w="8761" w:type="dxa"/>
        <w:jc w:val="center"/>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74"/>
        <w:gridCol w:w="2126"/>
        <w:gridCol w:w="2030"/>
        <w:gridCol w:w="238"/>
        <w:gridCol w:w="18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7" w:hRule="atLeast"/>
          <w:jc w:val="center"/>
        </w:trPr>
        <w:tc>
          <w:tcPr>
            <w:tcW w:w="2474" w:type="dxa"/>
            <w:shd w:val="clear" w:color="auto" w:fill="auto"/>
            <w:vAlign w:val="center"/>
          </w:tcPr>
          <w:p>
            <w:pPr>
              <w:ind w:firstLine="480" w:firstLineChars="200"/>
              <w:jc w:val="center"/>
              <w:rPr>
                <w:rFonts w:ascii="仿宋_GB2312" w:hAnsi="Calibri" w:eastAsia="仿宋_GB2312"/>
                <w:sz w:val="24"/>
              </w:rPr>
            </w:pPr>
            <w:r>
              <w:rPr>
                <w:rFonts w:hint="eastAsia" w:ascii="仿宋_GB2312" w:hAnsi="Calibri" w:eastAsia="仿宋_GB2312"/>
                <w:sz w:val="24"/>
              </w:rPr>
              <w:t>项目名称</w:t>
            </w:r>
          </w:p>
        </w:tc>
        <w:tc>
          <w:tcPr>
            <w:tcW w:w="6287" w:type="dxa"/>
            <w:gridSpan w:val="4"/>
            <w:shd w:val="clear" w:color="auto" w:fill="auto"/>
            <w:vAlign w:val="center"/>
          </w:tcPr>
          <w:p>
            <w:pPr>
              <w:ind w:firstLine="480" w:firstLineChars="200"/>
              <w:jc w:val="center"/>
              <w:rPr>
                <w:rFonts w:ascii="仿宋_GB2312" w:hAnsi="Calibri"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7" w:hRule="atLeast"/>
          <w:jc w:val="center"/>
        </w:trPr>
        <w:tc>
          <w:tcPr>
            <w:tcW w:w="2474" w:type="dxa"/>
            <w:shd w:val="clear" w:color="auto" w:fill="auto"/>
            <w:vAlign w:val="center"/>
          </w:tcPr>
          <w:p>
            <w:pPr>
              <w:ind w:firstLine="480" w:firstLineChars="200"/>
              <w:jc w:val="center"/>
              <w:rPr>
                <w:rFonts w:ascii="仿宋_GB2312" w:hAnsi="Calibri" w:eastAsia="仿宋_GB2312"/>
                <w:sz w:val="24"/>
              </w:rPr>
            </w:pPr>
            <w:r>
              <w:rPr>
                <w:rFonts w:hint="eastAsia" w:ascii="仿宋_GB2312" w:hAnsi="Calibri" w:eastAsia="仿宋_GB2312"/>
                <w:sz w:val="24"/>
              </w:rPr>
              <w:t>项目编号</w:t>
            </w:r>
          </w:p>
        </w:tc>
        <w:tc>
          <w:tcPr>
            <w:tcW w:w="2126" w:type="dxa"/>
            <w:shd w:val="clear" w:color="auto" w:fill="auto"/>
            <w:vAlign w:val="center"/>
          </w:tcPr>
          <w:p>
            <w:pPr>
              <w:ind w:firstLine="480" w:firstLineChars="200"/>
              <w:jc w:val="center"/>
              <w:rPr>
                <w:rFonts w:ascii="仿宋_GB2312" w:hAnsi="Calibri" w:eastAsia="仿宋_GB2312"/>
                <w:sz w:val="24"/>
              </w:rPr>
            </w:pPr>
          </w:p>
        </w:tc>
        <w:tc>
          <w:tcPr>
            <w:tcW w:w="2268" w:type="dxa"/>
            <w:gridSpan w:val="2"/>
            <w:shd w:val="clear" w:color="auto" w:fill="auto"/>
            <w:vAlign w:val="center"/>
          </w:tcPr>
          <w:p>
            <w:pPr>
              <w:ind w:firstLine="480" w:firstLineChars="200"/>
              <w:jc w:val="center"/>
              <w:rPr>
                <w:rFonts w:ascii="仿宋_GB2312" w:hAnsi="Calibri" w:eastAsia="仿宋_GB2312"/>
                <w:sz w:val="24"/>
              </w:rPr>
            </w:pPr>
            <w:r>
              <w:rPr>
                <w:rFonts w:hint="eastAsia" w:ascii="仿宋_GB2312" w:hAnsi="Calibri" w:eastAsia="仿宋_GB2312"/>
                <w:sz w:val="24"/>
              </w:rPr>
              <w:t>项目金额（万元）</w:t>
            </w:r>
          </w:p>
        </w:tc>
        <w:tc>
          <w:tcPr>
            <w:tcW w:w="1893" w:type="dxa"/>
            <w:shd w:val="clear" w:color="auto" w:fill="auto"/>
            <w:vAlign w:val="center"/>
          </w:tcPr>
          <w:p>
            <w:pPr>
              <w:ind w:firstLine="480" w:firstLineChars="200"/>
              <w:jc w:val="center"/>
              <w:rPr>
                <w:rFonts w:ascii="仿宋_GB2312" w:hAnsi="Calibri"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7" w:hRule="atLeast"/>
          <w:jc w:val="center"/>
        </w:trPr>
        <w:tc>
          <w:tcPr>
            <w:tcW w:w="2474" w:type="dxa"/>
            <w:shd w:val="clear" w:color="auto" w:fill="auto"/>
            <w:vAlign w:val="center"/>
          </w:tcPr>
          <w:p>
            <w:pPr>
              <w:ind w:firstLine="480" w:firstLineChars="200"/>
              <w:jc w:val="center"/>
              <w:rPr>
                <w:rFonts w:ascii="仿宋_GB2312" w:hAnsi="Calibri" w:eastAsia="仿宋_GB2312"/>
                <w:sz w:val="24"/>
              </w:rPr>
            </w:pPr>
            <w:r>
              <w:rPr>
                <w:rFonts w:hint="eastAsia" w:ascii="仿宋_GB2312" w:hAnsi="Calibri" w:eastAsia="仿宋_GB2312"/>
                <w:sz w:val="24"/>
              </w:rPr>
              <w:t>项目委托单位</w:t>
            </w:r>
          </w:p>
        </w:tc>
        <w:tc>
          <w:tcPr>
            <w:tcW w:w="6287" w:type="dxa"/>
            <w:gridSpan w:val="4"/>
            <w:shd w:val="clear" w:color="auto" w:fill="auto"/>
            <w:vAlign w:val="center"/>
          </w:tcPr>
          <w:p>
            <w:pPr>
              <w:ind w:firstLine="480" w:firstLineChars="200"/>
              <w:jc w:val="center"/>
              <w:rPr>
                <w:rFonts w:ascii="仿宋_GB2312" w:hAnsi="Calibri"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7" w:hRule="atLeast"/>
          <w:jc w:val="center"/>
        </w:trPr>
        <w:tc>
          <w:tcPr>
            <w:tcW w:w="2474" w:type="dxa"/>
            <w:shd w:val="clear" w:color="auto" w:fill="auto"/>
            <w:vAlign w:val="center"/>
          </w:tcPr>
          <w:p>
            <w:pPr>
              <w:ind w:firstLine="480" w:firstLineChars="200"/>
              <w:jc w:val="center"/>
              <w:rPr>
                <w:rFonts w:ascii="仿宋_GB2312" w:hAnsi="Calibri" w:eastAsia="仿宋_GB2312"/>
                <w:sz w:val="24"/>
              </w:rPr>
            </w:pPr>
            <w:r>
              <w:rPr>
                <w:rFonts w:hint="eastAsia" w:ascii="仿宋_GB2312" w:hAnsi="Calibri" w:eastAsia="仿宋_GB2312"/>
                <w:sz w:val="24"/>
              </w:rPr>
              <w:t>设备名称（型号）</w:t>
            </w:r>
          </w:p>
        </w:tc>
        <w:tc>
          <w:tcPr>
            <w:tcW w:w="6287" w:type="dxa"/>
            <w:gridSpan w:val="4"/>
            <w:shd w:val="clear" w:color="auto" w:fill="auto"/>
            <w:vAlign w:val="center"/>
          </w:tcPr>
          <w:p>
            <w:pPr>
              <w:ind w:firstLine="480" w:firstLineChars="200"/>
              <w:jc w:val="center"/>
              <w:rPr>
                <w:rFonts w:ascii="仿宋_GB2312" w:hAnsi="Calibri"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7" w:hRule="atLeast"/>
          <w:jc w:val="center"/>
        </w:trPr>
        <w:tc>
          <w:tcPr>
            <w:tcW w:w="2474" w:type="dxa"/>
            <w:shd w:val="clear" w:color="auto" w:fill="auto"/>
            <w:vAlign w:val="center"/>
          </w:tcPr>
          <w:p>
            <w:pPr>
              <w:ind w:firstLine="480" w:firstLineChars="200"/>
              <w:jc w:val="center"/>
              <w:rPr>
                <w:rFonts w:ascii="仿宋_GB2312" w:hAnsi="Calibri" w:eastAsia="仿宋_GB2312"/>
                <w:sz w:val="24"/>
              </w:rPr>
            </w:pPr>
            <w:r>
              <w:rPr>
                <w:rFonts w:hint="eastAsia" w:ascii="仿宋_GB2312" w:hAnsi="Calibri" w:eastAsia="仿宋_GB2312"/>
                <w:sz w:val="24"/>
              </w:rPr>
              <w:t>设备价值（万元）</w:t>
            </w:r>
          </w:p>
        </w:tc>
        <w:tc>
          <w:tcPr>
            <w:tcW w:w="2126" w:type="dxa"/>
            <w:shd w:val="clear" w:color="auto" w:fill="auto"/>
            <w:vAlign w:val="center"/>
          </w:tcPr>
          <w:p>
            <w:pPr>
              <w:ind w:firstLine="480" w:firstLineChars="200"/>
              <w:jc w:val="center"/>
              <w:rPr>
                <w:rFonts w:ascii="仿宋_GB2312" w:hAnsi="Calibri" w:eastAsia="仿宋_GB2312"/>
                <w:sz w:val="24"/>
              </w:rPr>
            </w:pPr>
          </w:p>
        </w:tc>
        <w:tc>
          <w:tcPr>
            <w:tcW w:w="2030" w:type="dxa"/>
            <w:shd w:val="clear" w:color="auto" w:fill="auto"/>
            <w:vAlign w:val="center"/>
          </w:tcPr>
          <w:p>
            <w:pPr>
              <w:ind w:firstLine="480" w:firstLineChars="200"/>
              <w:jc w:val="center"/>
              <w:rPr>
                <w:rFonts w:ascii="仿宋_GB2312" w:hAnsi="Calibri" w:eastAsia="仿宋_GB2312"/>
                <w:sz w:val="24"/>
              </w:rPr>
            </w:pPr>
            <w:r>
              <w:rPr>
                <w:rFonts w:hint="eastAsia" w:ascii="仿宋_GB2312" w:hAnsi="Calibri" w:eastAsia="仿宋_GB2312"/>
                <w:sz w:val="24"/>
              </w:rPr>
              <w:t>设备类型</w:t>
            </w:r>
          </w:p>
        </w:tc>
        <w:tc>
          <w:tcPr>
            <w:tcW w:w="2131" w:type="dxa"/>
            <w:gridSpan w:val="2"/>
            <w:shd w:val="clear" w:color="auto" w:fill="auto"/>
            <w:vAlign w:val="center"/>
          </w:tcPr>
          <w:p>
            <w:pPr>
              <w:ind w:firstLine="480" w:firstLineChars="200"/>
              <w:jc w:val="center"/>
              <w:rPr>
                <w:rFonts w:ascii="仿宋_GB2312" w:hAnsi="Calibri" w:eastAsia="仿宋_GB2312"/>
                <w:sz w:val="24"/>
              </w:rPr>
            </w:pPr>
            <w:r>
              <w:rPr>
                <w:rFonts w:hint="eastAsia" w:ascii="仿宋_GB2312" w:hAnsi="Calibri" w:eastAsia="仿宋_GB2312"/>
                <w:sz w:val="24"/>
              </w:rPr>
              <w:t>采购/自制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36" w:hRule="atLeast"/>
          <w:jc w:val="center"/>
        </w:trPr>
        <w:tc>
          <w:tcPr>
            <w:tcW w:w="2474" w:type="dxa"/>
            <w:shd w:val="clear" w:color="auto" w:fill="auto"/>
            <w:vAlign w:val="center"/>
          </w:tcPr>
          <w:p>
            <w:pPr>
              <w:ind w:firstLine="480" w:firstLineChars="200"/>
              <w:jc w:val="center"/>
              <w:rPr>
                <w:rFonts w:ascii="仿宋_GB2312" w:hAnsi="Calibri" w:eastAsia="仿宋_GB2312"/>
                <w:sz w:val="24"/>
              </w:rPr>
            </w:pPr>
            <w:r>
              <w:rPr>
                <w:rFonts w:hint="eastAsia" w:ascii="仿宋_GB2312" w:hAnsi="Calibri" w:eastAsia="仿宋_GB2312"/>
                <w:sz w:val="24"/>
              </w:rPr>
              <w:t>移交设备</w:t>
            </w:r>
          </w:p>
          <w:p>
            <w:pPr>
              <w:ind w:firstLine="480" w:firstLineChars="200"/>
              <w:jc w:val="center"/>
              <w:rPr>
                <w:rFonts w:ascii="仿宋_GB2312" w:hAnsi="Calibri" w:eastAsia="仿宋_GB2312"/>
                <w:sz w:val="24"/>
              </w:rPr>
            </w:pPr>
            <w:r>
              <w:rPr>
                <w:rFonts w:hint="eastAsia" w:ascii="仿宋_GB2312" w:hAnsi="Calibri" w:eastAsia="仿宋_GB2312"/>
                <w:sz w:val="24"/>
              </w:rPr>
              <w:t>情况描述</w:t>
            </w:r>
          </w:p>
        </w:tc>
        <w:tc>
          <w:tcPr>
            <w:tcW w:w="6287" w:type="dxa"/>
            <w:gridSpan w:val="4"/>
            <w:shd w:val="clear" w:color="auto" w:fill="auto"/>
          </w:tcPr>
          <w:p>
            <w:pPr>
              <w:ind w:firstLine="420" w:firstLineChars="200"/>
              <w:rPr>
                <w:rFonts w:ascii="仿宋_GB2312" w:hAnsi="Calibri" w:eastAsia="仿宋_GB2312"/>
                <w:szCs w:val="21"/>
              </w:rPr>
            </w:pPr>
            <w:r>
              <w:rPr>
                <w:rFonts w:hint="eastAsia" w:ascii="仿宋_GB2312" w:hAnsi="Calibri" w:eastAsia="仿宋_GB2312"/>
                <w:szCs w:val="21"/>
              </w:rPr>
              <w:t>主要描述项目合同（任务书）中关于设备移交项目委托单位相关条款及设备型号等具体信息。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35" w:hRule="atLeast"/>
          <w:jc w:val="center"/>
        </w:trPr>
        <w:tc>
          <w:tcPr>
            <w:tcW w:w="8761" w:type="dxa"/>
            <w:gridSpan w:val="5"/>
            <w:shd w:val="clear" w:color="auto" w:fill="auto"/>
          </w:tcPr>
          <w:p>
            <w:pPr>
              <w:ind w:firstLine="480" w:firstLineChars="200"/>
              <w:jc w:val="left"/>
              <w:rPr>
                <w:rFonts w:ascii="Calibri" w:hAnsi="Calibri"/>
                <w:sz w:val="24"/>
              </w:rPr>
            </w:pPr>
            <w:r>
              <w:rPr>
                <w:rFonts w:hint="eastAsia" w:ascii="Calibri" w:hAnsi="Calibri"/>
                <w:sz w:val="24"/>
              </w:rPr>
              <w:t>所在学院（部）意见：</w:t>
            </w:r>
          </w:p>
          <w:p>
            <w:pPr>
              <w:ind w:firstLine="480" w:firstLineChars="200"/>
              <w:rPr>
                <w:rFonts w:ascii="Calibri" w:hAnsi="Calibri"/>
                <w:sz w:val="24"/>
              </w:rPr>
            </w:pPr>
            <w:r>
              <w:rPr>
                <w:rFonts w:hint="eastAsia" w:ascii="Calibri" w:hAnsi="Calibri"/>
                <w:sz w:val="24"/>
              </w:rPr>
              <w:t xml:space="preserve">                                                  </w:t>
            </w:r>
          </w:p>
          <w:p>
            <w:pPr>
              <w:ind w:firstLine="480" w:firstLineChars="200"/>
              <w:rPr>
                <w:rFonts w:ascii="Calibri" w:hAnsi="Calibri"/>
                <w:sz w:val="24"/>
              </w:rPr>
            </w:pPr>
          </w:p>
          <w:p>
            <w:pPr>
              <w:ind w:firstLine="480" w:firstLineChars="200"/>
              <w:rPr>
                <w:rFonts w:ascii="Calibri" w:hAnsi="Calibri"/>
                <w:sz w:val="24"/>
              </w:rPr>
            </w:pPr>
            <w:r>
              <w:rPr>
                <w:rFonts w:hint="eastAsia" w:ascii="Calibri" w:hAnsi="Calibri"/>
                <w:sz w:val="24"/>
              </w:rPr>
              <w:t>负责人签字（公章）：</w:t>
            </w:r>
          </w:p>
          <w:p>
            <w:pPr>
              <w:ind w:firstLine="480" w:firstLineChars="200"/>
              <w:rPr>
                <w:rFonts w:ascii="仿宋_GB2312" w:hAnsi="Calibri" w:eastAsia="仿宋_GB2312"/>
                <w:sz w:val="24"/>
              </w:rPr>
            </w:pPr>
            <w:r>
              <w:rPr>
                <w:rFonts w:hint="eastAsia" w:ascii="Calibri" w:hAnsi="Calibri"/>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761" w:type="dxa"/>
            <w:gridSpan w:val="5"/>
            <w:shd w:val="clear" w:color="auto" w:fill="auto"/>
          </w:tcPr>
          <w:p>
            <w:pPr>
              <w:ind w:firstLine="480" w:firstLineChars="200"/>
              <w:jc w:val="left"/>
              <w:rPr>
                <w:rFonts w:ascii="Calibri" w:hAnsi="Calibri"/>
                <w:sz w:val="24"/>
              </w:rPr>
            </w:pPr>
            <w:r>
              <w:rPr>
                <w:rFonts w:hint="eastAsia" w:ascii="Calibri" w:hAnsi="Calibri"/>
                <w:sz w:val="24"/>
              </w:rPr>
              <w:t>科研主管部门意见：</w:t>
            </w:r>
          </w:p>
          <w:p>
            <w:pPr>
              <w:ind w:firstLine="480" w:firstLineChars="200"/>
              <w:jc w:val="left"/>
              <w:rPr>
                <w:rFonts w:ascii="Calibri" w:hAnsi="Calibri"/>
                <w:sz w:val="24"/>
              </w:rPr>
            </w:pPr>
          </w:p>
          <w:p>
            <w:pPr>
              <w:ind w:firstLine="480" w:firstLineChars="200"/>
              <w:rPr>
                <w:rFonts w:ascii="Calibri" w:hAnsi="Calibri"/>
                <w:sz w:val="24"/>
              </w:rPr>
            </w:pPr>
          </w:p>
          <w:p>
            <w:pPr>
              <w:ind w:firstLine="480" w:firstLineChars="200"/>
              <w:rPr>
                <w:rFonts w:ascii="Calibri" w:hAnsi="Calibri"/>
                <w:sz w:val="24"/>
              </w:rPr>
            </w:pPr>
            <w:r>
              <w:rPr>
                <w:rFonts w:hint="eastAsia" w:ascii="Calibri" w:hAnsi="Calibri"/>
                <w:sz w:val="24"/>
              </w:rPr>
              <w:t>负责人签字（公章）：</w:t>
            </w:r>
          </w:p>
          <w:p>
            <w:pPr>
              <w:ind w:firstLine="480" w:firstLineChars="200"/>
              <w:jc w:val="left"/>
              <w:rPr>
                <w:rFonts w:ascii="仿宋_GB2312" w:hAnsi="Calibri" w:eastAsia="仿宋_GB2312"/>
                <w:sz w:val="24"/>
              </w:rPr>
            </w:pPr>
            <w:r>
              <w:rPr>
                <w:rFonts w:hint="eastAsia" w:ascii="Calibri" w:hAnsi="Calibri"/>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23" w:hRule="atLeast"/>
          <w:jc w:val="center"/>
        </w:trPr>
        <w:tc>
          <w:tcPr>
            <w:tcW w:w="8761" w:type="dxa"/>
            <w:gridSpan w:val="5"/>
            <w:shd w:val="clear" w:color="auto" w:fill="auto"/>
          </w:tcPr>
          <w:p>
            <w:pPr>
              <w:ind w:firstLine="480" w:firstLineChars="200"/>
              <w:jc w:val="left"/>
              <w:rPr>
                <w:rFonts w:ascii="Calibri" w:hAnsi="Calibri"/>
                <w:sz w:val="24"/>
              </w:rPr>
            </w:pPr>
            <w:r>
              <w:rPr>
                <w:rFonts w:hint="eastAsia" w:ascii="Calibri" w:hAnsi="Calibri"/>
                <w:sz w:val="24"/>
              </w:rPr>
              <w:t>计划财务处意见：</w:t>
            </w:r>
          </w:p>
          <w:p>
            <w:pPr>
              <w:ind w:firstLine="480" w:firstLineChars="200"/>
              <w:rPr>
                <w:rFonts w:ascii="Calibri" w:hAnsi="Calibri"/>
                <w:sz w:val="24"/>
              </w:rPr>
            </w:pPr>
          </w:p>
          <w:p>
            <w:pPr>
              <w:ind w:firstLine="480" w:firstLineChars="200"/>
              <w:rPr>
                <w:rFonts w:ascii="Calibri" w:hAnsi="Calibri"/>
                <w:sz w:val="24"/>
              </w:rPr>
            </w:pPr>
            <w:r>
              <w:rPr>
                <w:rFonts w:hint="eastAsia" w:ascii="Calibri" w:hAnsi="Calibri"/>
                <w:sz w:val="24"/>
              </w:rPr>
              <w:t>负责人签字（公章）：</w:t>
            </w:r>
          </w:p>
          <w:p>
            <w:pPr>
              <w:ind w:firstLine="480" w:firstLineChars="200"/>
              <w:rPr>
                <w:rFonts w:ascii="仿宋_GB2312" w:hAnsi="Calibri" w:eastAsia="仿宋_GB2312"/>
                <w:sz w:val="24"/>
              </w:rPr>
            </w:pPr>
            <w:r>
              <w:rPr>
                <w:rFonts w:hint="eastAsia" w:ascii="Calibri" w:hAnsi="Calibri"/>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57" w:hRule="atLeast"/>
          <w:jc w:val="center"/>
        </w:trPr>
        <w:tc>
          <w:tcPr>
            <w:tcW w:w="8761" w:type="dxa"/>
            <w:gridSpan w:val="5"/>
            <w:shd w:val="clear" w:color="auto" w:fill="auto"/>
          </w:tcPr>
          <w:p>
            <w:pPr>
              <w:ind w:firstLine="480" w:firstLineChars="200"/>
              <w:jc w:val="left"/>
              <w:rPr>
                <w:rFonts w:ascii="Calibri" w:hAnsi="Calibri"/>
                <w:sz w:val="24"/>
              </w:rPr>
            </w:pPr>
            <w:r>
              <w:rPr>
                <w:rFonts w:hint="eastAsia" w:ascii="Calibri" w:hAnsi="Calibri"/>
                <w:sz w:val="24"/>
              </w:rPr>
              <w:t>实验室与设备管理处意见：</w:t>
            </w:r>
          </w:p>
          <w:p>
            <w:pPr>
              <w:ind w:firstLine="480" w:firstLineChars="200"/>
              <w:rPr>
                <w:rFonts w:ascii="Calibri" w:hAnsi="Calibri"/>
                <w:sz w:val="24"/>
              </w:rPr>
            </w:pPr>
          </w:p>
          <w:p>
            <w:pPr>
              <w:ind w:firstLine="480" w:firstLineChars="200"/>
              <w:rPr>
                <w:rFonts w:ascii="Calibri" w:hAnsi="Calibri"/>
                <w:sz w:val="24"/>
              </w:rPr>
            </w:pPr>
            <w:r>
              <w:rPr>
                <w:rFonts w:hint="eastAsia" w:ascii="Calibri" w:hAnsi="Calibri"/>
                <w:sz w:val="24"/>
              </w:rPr>
              <w:t>负责人签字（公章）：</w:t>
            </w:r>
          </w:p>
          <w:p>
            <w:pPr>
              <w:ind w:firstLine="480" w:firstLineChars="200"/>
              <w:rPr>
                <w:rFonts w:ascii="仿宋_GB2312" w:hAnsi="Calibri" w:eastAsia="仿宋_GB2312"/>
                <w:sz w:val="24"/>
              </w:rPr>
            </w:pPr>
            <w:r>
              <w:rPr>
                <w:rFonts w:hint="eastAsia" w:ascii="Calibri" w:hAnsi="Calibri"/>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61" w:hRule="atLeast"/>
          <w:jc w:val="center"/>
        </w:trPr>
        <w:tc>
          <w:tcPr>
            <w:tcW w:w="8761" w:type="dxa"/>
            <w:gridSpan w:val="5"/>
            <w:shd w:val="clear" w:color="auto" w:fill="auto"/>
          </w:tcPr>
          <w:p>
            <w:pPr>
              <w:ind w:firstLine="480" w:firstLineChars="200"/>
              <w:jc w:val="left"/>
              <w:rPr>
                <w:rFonts w:ascii="Calibri" w:hAnsi="Calibri"/>
                <w:sz w:val="24"/>
              </w:rPr>
            </w:pPr>
            <w:r>
              <w:rPr>
                <w:rFonts w:hint="eastAsia" w:ascii="Calibri" w:hAnsi="Calibri"/>
                <w:sz w:val="24"/>
              </w:rPr>
              <w:t>国有资产管理处意见：</w:t>
            </w:r>
          </w:p>
          <w:p>
            <w:pPr>
              <w:ind w:firstLine="480" w:firstLineChars="200"/>
              <w:rPr>
                <w:rFonts w:ascii="Calibri" w:hAnsi="Calibri"/>
                <w:sz w:val="24"/>
              </w:rPr>
            </w:pPr>
          </w:p>
          <w:p>
            <w:pPr>
              <w:ind w:firstLine="480" w:firstLineChars="200"/>
              <w:rPr>
                <w:rFonts w:ascii="Calibri" w:hAnsi="Calibri"/>
                <w:sz w:val="24"/>
              </w:rPr>
            </w:pPr>
            <w:r>
              <w:rPr>
                <w:rFonts w:hint="eastAsia" w:ascii="Calibri" w:hAnsi="Calibri"/>
                <w:sz w:val="24"/>
              </w:rPr>
              <w:t>负责人签字（公章）：</w:t>
            </w:r>
          </w:p>
          <w:p>
            <w:pPr>
              <w:ind w:firstLine="480" w:firstLineChars="200"/>
              <w:rPr>
                <w:rFonts w:ascii="仿宋_GB2312" w:hAnsi="Calibri" w:eastAsia="仿宋_GB2312"/>
                <w:sz w:val="24"/>
              </w:rPr>
            </w:pPr>
            <w:r>
              <w:rPr>
                <w:rFonts w:hint="eastAsia" w:ascii="Calibri" w:hAnsi="Calibri"/>
                <w:sz w:val="24"/>
              </w:rPr>
              <w:t xml:space="preserve">                                                       年   月   日</w:t>
            </w:r>
          </w:p>
        </w:tc>
      </w:tr>
    </w:tbl>
    <w:p>
      <w:pPr>
        <w:adjustRightInd w:val="0"/>
        <w:snapToGrid w:val="0"/>
        <w:spacing w:line="560" w:lineRule="exact"/>
        <w:ind w:firstLine="640" w:firstLineChars="200"/>
        <w:jc w:val="left"/>
        <w:rPr>
          <w:rFonts w:hint="eastAsia" w:eastAsia="仿宋_GB2312"/>
          <w:sz w:val="32"/>
          <w:szCs w:val="32"/>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小标宋">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6354C"/>
    <w:rsid w:val="0016354C"/>
    <w:rsid w:val="001D6E7D"/>
    <w:rsid w:val="00AD78B2"/>
    <w:rsid w:val="00B02E11"/>
    <w:rsid w:val="00D63FE5"/>
    <w:rsid w:val="30976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2"/>
    <w:unhideWhenUsed/>
    <w:uiPriority w:val="0"/>
    <w:rPr>
      <w:rFonts w:ascii="宋体" w:hAnsi="Courier New"/>
      <w:szCs w:val="20"/>
    </w:rPr>
  </w:style>
  <w:style w:type="paragraph" w:styleId="3">
    <w:name w:val="footer"/>
    <w:basedOn w:val="1"/>
    <w:link w:val="9"/>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Body Text 2"/>
    <w:basedOn w:val="1"/>
    <w:link w:val="10"/>
    <w:uiPriority w:val="0"/>
    <w:pPr>
      <w:spacing w:after="120" w:line="480" w:lineRule="auto"/>
    </w:p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正文文本 2 Char"/>
    <w:basedOn w:val="6"/>
    <w:link w:val="5"/>
    <w:uiPriority w:val="0"/>
    <w:rPr>
      <w:rFonts w:ascii="Times New Roman" w:hAnsi="Times New Roman" w:eastAsia="宋体" w:cs="Times New Roman"/>
      <w:szCs w:val="24"/>
    </w:rPr>
  </w:style>
  <w:style w:type="paragraph" w:styleId="11">
    <w:name w:val="List Paragraph"/>
    <w:basedOn w:val="1"/>
    <w:qFormat/>
    <w:uiPriority w:val="34"/>
    <w:pPr>
      <w:ind w:firstLine="420" w:firstLineChars="200"/>
    </w:pPr>
    <w:rPr>
      <w:rFonts w:ascii="等线" w:hAnsi="等线" w:eastAsia="等线"/>
      <w:szCs w:val="22"/>
    </w:rPr>
  </w:style>
  <w:style w:type="character" w:customStyle="1" w:styleId="12">
    <w:name w:val="纯文本 Char"/>
    <w:basedOn w:val="6"/>
    <w:link w:val="2"/>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895</Words>
  <Characters>5107</Characters>
  <Lines>42</Lines>
  <Paragraphs>11</Paragraphs>
  <TotalTime>52</TotalTime>
  <ScaleCrop>false</ScaleCrop>
  <LinksUpToDate>false</LinksUpToDate>
  <CharactersWithSpaces>5991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2017-05-24T01:16:00Z</dcterms:created>
  <dc:creator>NTKO</dc:creator>
  <cp:lastModifiedBy> 张翼飞</cp:lastModifiedBy>
  <dcterms:modified xsi:type="dcterms:W3CDTF">2018-10-16T07:58:04Z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